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4C"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sidRPr="005A794C">
        <w:rPr>
          <w:rFonts w:ascii="Times New Roman" w:eastAsia="Times New Roman" w:hAnsi="Times New Roman" w:cs="Times New Roman"/>
          <w:sz w:val="24"/>
          <w:szCs w:val="20"/>
        </w:rPr>
        <w:t>Kvietimo „</w:t>
      </w:r>
      <w:r w:rsidR="007D6918">
        <w:rPr>
          <w:rFonts w:ascii="Times New Roman" w:hAnsi="Times New Roman" w:cs="Times New Roman"/>
          <w:sz w:val="24"/>
          <w:szCs w:val="24"/>
        </w:rPr>
        <w:t>Šeimų lankymo, teikiant ankstyvosios intervencijos paslaugas, modelio įdiegimas</w:t>
      </w:r>
      <w:r w:rsidRPr="005A794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5A794C">
        <w:rPr>
          <w:rFonts w:ascii="Times New Roman" w:eastAsia="Times New Roman" w:hAnsi="Times New Roman" w:cs="Times New Roman"/>
          <w:sz w:val="24"/>
          <w:szCs w:val="20"/>
        </w:rPr>
        <w:t>pagal 2014–2021 m. Europos ekonominės erdvės finansinio mechanizmo programą „Sveikata“ gairių pareiškėjams</w:t>
      </w:r>
    </w:p>
    <w:p w:rsidR="0021698E" w:rsidRPr="0021698E" w:rsidRDefault="00B66992"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21698E" w:rsidRPr="0021698E">
        <w:rPr>
          <w:rFonts w:ascii="Times New Roman" w:eastAsia="Times New Roman" w:hAnsi="Times New Roman" w:cs="Times New Roman"/>
          <w:sz w:val="24"/>
          <w:szCs w:val="20"/>
        </w:rPr>
        <w:t xml:space="preserve"> priedas</w:t>
      </w:r>
    </w:p>
    <w:p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b/>
          <w:sz w:val="24"/>
          <w:szCs w:val="24"/>
          <w:lang w:eastAsia="lt-LT"/>
        </w:rPr>
        <w:t>RINKOS TYRIMO SUVESTINĖ</w:t>
      </w:r>
    </w:p>
    <w:p w:rsidR="0021698E" w:rsidRPr="0021698E" w:rsidRDefault="0021698E" w:rsidP="0021698E">
      <w:pPr>
        <w:spacing w:after="0" w:line="240" w:lineRule="auto"/>
        <w:ind w:firstLine="425"/>
        <w:jc w:val="both"/>
        <w:rPr>
          <w:rFonts w:ascii="Times New Roman" w:eastAsia="Times New Roman" w:hAnsi="Times New Roman" w:cs="Times New Roman"/>
          <w:b/>
          <w:lang w:eastAsia="lt-LT"/>
        </w:rPr>
      </w:pPr>
    </w:p>
    <w:p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Prieš paraiškos teikimą atliekamo rinkos tyrimo tikslai:  </w:t>
      </w:r>
    </w:p>
    <w:p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sz w:val="24"/>
          <w:szCs w:val="24"/>
          <w:lang w:eastAsia="lt-LT"/>
        </w:rPr>
        <w:t xml:space="preserve">nustatyti </w:t>
      </w:r>
      <w:r w:rsidRPr="0021698E">
        <w:rPr>
          <w:rFonts w:ascii="Times New Roman" w:eastAsia="Times New Roman" w:hAnsi="Times New Roman" w:cs="Times New Roman"/>
          <w:b/>
          <w:i/>
          <w:sz w:val="24"/>
          <w:szCs w:val="24"/>
          <w:lang w:eastAsia="lt-LT"/>
        </w:rPr>
        <w:t>objektyvią ir racionalią</w:t>
      </w:r>
      <w:r w:rsidRPr="0021698E">
        <w:rPr>
          <w:rFonts w:ascii="Times New Roman" w:eastAsia="Times New Roman" w:hAnsi="Times New Roman" w:cs="Times New Roman"/>
          <w:i/>
          <w:sz w:val="24"/>
          <w:szCs w:val="24"/>
          <w:lang w:eastAsia="lt-LT"/>
        </w:rPr>
        <w:t xml:space="preserve"> </w:t>
      </w:r>
      <w:r w:rsidRPr="0021698E">
        <w:rPr>
          <w:rFonts w:ascii="Times New Roman" w:eastAsia="Times New Roman" w:hAnsi="Times New Roman" w:cs="Times New Roman"/>
          <w:sz w:val="24"/>
          <w:szCs w:val="24"/>
          <w:lang w:eastAsia="lt-LT"/>
        </w:rPr>
        <w:t xml:space="preserve">projekto pirkimui reikalingų </w:t>
      </w:r>
      <w:r w:rsidRPr="0021698E">
        <w:rPr>
          <w:rFonts w:ascii="Times New Roman" w:eastAsia="Times New Roman" w:hAnsi="Times New Roman" w:cs="Times New Roman"/>
          <w:b/>
          <w:i/>
          <w:sz w:val="24"/>
          <w:szCs w:val="24"/>
          <w:lang w:eastAsia="lt-LT"/>
        </w:rPr>
        <w:t>lėšų sumą</w:t>
      </w:r>
      <w:r w:rsidRPr="0021698E">
        <w:rPr>
          <w:rFonts w:ascii="Times New Roman" w:eastAsia="Times New Roman" w:hAnsi="Times New Roman" w:cs="Times New Roman"/>
          <w:sz w:val="24"/>
          <w:szCs w:val="24"/>
          <w:lang w:eastAsia="lt-LT"/>
        </w:rPr>
        <w:t xml:space="preserve">. </w:t>
      </w:r>
      <w:r w:rsidRPr="0021698E">
        <w:rPr>
          <w:rFonts w:ascii="Times New Roman" w:eastAsia="Times New Roman" w:hAnsi="Times New Roman" w:cs="Times New Roman"/>
          <w:b/>
          <w:sz w:val="24"/>
          <w:szCs w:val="24"/>
          <w:lang w:eastAsia="lt-LT"/>
        </w:rPr>
        <w:t>Pareiškėjas turi dėti maksimalias pastangas įvertinti kuo daugiau tiekėjų, siūlančių pareiškėjui reikalingą pirkimo objektą, informaciją apie pirkimo objekto kainą;</w:t>
      </w:r>
    </w:p>
    <w:p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  </w:t>
      </w:r>
    </w:p>
    <w:p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p>
    <w:p w:rsidR="0021698E" w:rsidRPr="0021698E" w:rsidRDefault="0021698E" w:rsidP="0021698E">
      <w:pPr>
        <w:spacing w:after="0" w:line="240" w:lineRule="auto"/>
        <w:ind w:firstLine="425"/>
        <w:jc w:val="both"/>
        <w:rPr>
          <w:rFonts w:ascii="Times New Roman" w:eastAsia="Times New Roman" w:hAnsi="Times New Roman" w:cs="Times New Roman"/>
          <w:lang w:eastAsia="lt-LT"/>
        </w:rPr>
      </w:pPr>
      <w:r w:rsidRPr="0021698E">
        <w:rPr>
          <w:rFonts w:ascii="Times New Roman" w:eastAsia="Times New Roman" w:hAnsi="Times New Roman" w:cs="Times New Roman"/>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rsidR="0021698E" w:rsidRPr="0021698E" w:rsidRDefault="0021698E" w:rsidP="0021698E">
      <w:pPr>
        <w:spacing w:after="0" w:line="240" w:lineRule="auto"/>
        <w:rPr>
          <w:rFonts w:ascii="Times New Roman" w:eastAsia="Times New Roman" w:hAnsi="Times New Roman" w:cs="Times New Roman"/>
          <w:b/>
          <w:sz w:val="20"/>
          <w:szCs w:val="20"/>
          <w:lang w:eastAsia="lt-LT"/>
        </w:rPr>
      </w:pPr>
    </w:p>
    <w:p w:rsidR="0021698E" w:rsidRPr="0021698E" w:rsidRDefault="0021698E" w:rsidP="0021698E">
      <w:pPr>
        <w:tabs>
          <w:tab w:val="left" w:pos="1080"/>
          <w:tab w:val="left" w:pos="1440"/>
        </w:tabs>
        <w:spacing w:after="0" w:line="240" w:lineRule="auto"/>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21698E" w:rsidRPr="0021698E" w:rsidTr="000D3E4E">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 dalis. Pirkimo objektas</w:t>
            </w:r>
          </w:p>
        </w:tc>
      </w:tr>
      <w:tr w:rsidR="0021698E" w:rsidRPr="0021698E" w:rsidTr="000D3E4E">
        <w:trPr>
          <w:trHeight w:val="91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4"/>
                <w:szCs w:val="24"/>
                <w:lang w:eastAsia="lt-LT"/>
              </w:rPr>
            </w:pPr>
            <w:r w:rsidRPr="0021698E">
              <w:rPr>
                <w:rFonts w:ascii="Times New Roman" w:eastAsia="Times New Roman" w:hAnsi="Times New Roman" w:cs="Times New Roman"/>
                <w:color w:val="000000"/>
                <w:sz w:val="24"/>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jc w:val="both"/>
              <w:rPr>
                <w:rFonts w:ascii="Times New Roman" w:eastAsia="Times New Roman" w:hAnsi="Times New Roman" w:cs="Times New Roman"/>
                <w:b/>
                <w:color w:val="000000"/>
                <w:sz w:val="24"/>
                <w:szCs w:val="24"/>
                <w:lang w:eastAsia="lt-LT"/>
              </w:rPr>
            </w:pPr>
            <w:r w:rsidRPr="0021698E">
              <w:rPr>
                <w:rFonts w:ascii="Times New Roman" w:eastAsia="Times New Roman" w:hAnsi="Times New Roman" w:cs="Times New Roman"/>
                <w:b/>
                <w:color w:val="FF0000"/>
                <w:sz w:val="24"/>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Trumpai apibrėžiamas pirkimo objektas (kiek, kokių prekių, paslaugų, darbų numatoma pirkti).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sz w:val="20"/>
                <w:szCs w:val="20"/>
                <w:lang w:eastAsia="lt-LT"/>
              </w:rPr>
              <w:t>P</w:t>
            </w:r>
            <w:r w:rsidRPr="0021698E">
              <w:rPr>
                <w:rFonts w:ascii="Times New Roman" w:eastAsia="Times New Roman" w:hAnsi="Times New Roman" w:cs="Times New Roman"/>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rsidTr="000D3E4E">
        <w:trPr>
          <w:trHeight w:val="181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jc w:val="both"/>
              <w:rPr>
                <w:rFonts w:ascii="Times New Roman" w:eastAsia="Times New Roman" w:hAnsi="Times New Roman" w:cs="Times New Roman"/>
                <w:color w:val="FF0000"/>
                <w:sz w:val="20"/>
                <w:szCs w:val="24"/>
                <w:lang w:eastAsia="lt-LT"/>
              </w:rPr>
            </w:pPr>
            <w:r w:rsidRPr="0021698E">
              <w:rPr>
                <w:rFonts w:ascii="Times New Roman" w:eastAsia="Times New Roman" w:hAnsi="Times New Roman" w:cs="Times New Roman"/>
                <w:b/>
                <w:color w:val="FF0000"/>
                <w:sz w:val="24"/>
                <w:szCs w:val="24"/>
                <w:lang w:eastAsia="lt-LT"/>
              </w:rPr>
              <w:t>Techninė specifikacija</w:t>
            </w:r>
            <w:r w:rsidRPr="0021698E">
              <w:rPr>
                <w:rFonts w:ascii="Times New Roman" w:eastAsia="Times New Roman" w:hAnsi="Times New Roman" w:cs="Times New Roman"/>
                <w:color w:val="FF0000"/>
                <w:sz w:val="20"/>
                <w:szCs w:val="24"/>
                <w:lang w:eastAsia="lt-LT"/>
              </w:rPr>
              <w:t xml:space="preserve"> </w:t>
            </w:r>
          </w:p>
          <w:p w:rsidR="0021698E" w:rsidRPr="0021698E" w:rsidRDefault="0021698E" w:rsidP="0021698E">
            <w:pPr>
              <w:spacing w:after="0" w:line="240" w:lineRule="auto"/>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i/>
                <w:color w:val="000000"/>
                <w:sz w:val="20"/>
                <w:szCs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Nurodoma: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Techninė specifikacija negali būti diskriminacinė ir nepagrįstai ribojanti konkurenciją. </w:t>
            </w:r>
          </w:p>
          <w:p w:rsidR="0021698E" w:rsidRPr="0021698E" w:rsidRDefault="0021698E" w:rsidP="0021698E">
            <w:pPr>
              <w:spacing w:after="0" w:line="240" w:lineRule="auto"/>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Atliekant rinkos tyrimą, </w:t>
            </w:r>
            <w:r w:rsidRPr="0021698E">
              <w:rPr>
                <w:rFonts w:ascii="Times New Roman" w:eastAsia="Times New Roman" w:hAnsi="Times New Roman" w:cs="Times New Roman"/>
                <w:b/>
                <w:i/>
                <w:color w:val="000000"/>
                <w:sz w:val="20"/>
                <w:szCs w:val="24"/>
                <w:lang w:eastAsia="lt-LT"/>
              </w:rPr>
              <w:t>reiktų naudoti tą techninę specifikaciją, kuri bus naudojama pirkimui atlikti</w:t>
            </w:r>
            <w:r w:rsidRPr="0021698E">
              <w:rPr>
                <w:rFonts w:ascii="Times New Roman" w:eastAsia="Times New Roman" w:hAnsi="Times New Roman" w:cs="Times New Roman"/>
                <w:color w:val="000000"/>
                <w:sz w:val="20"/>
                <w:szCs w:val="24"/>
                <w:lang w:eastAsia="lt-LT"/>
              </w:rPr>
              <w:t xml:space="preserve">. </w:t>
            </w:r>
            <w:r w:rsidRPr="0021698E">
              <w:rPr>
                <w:rFonts w:ascii="Times New Roman" w:eastAsia="Times New Roman" w:hAnsi="Times New Roman" w:cs="Times New Roman"/>
                <w:i/>
                <w:color w:val="000000"/>
                <w:sz w:val="20"/>
                <w:szCs w:val="24"/>
                <w:lang w:eastAsia="lt-LT"/>
              </w:rPr>
              <w:t xml:space="preserve">Tai užtikrina tikslesnį rinkos tyrimo rezultatą. </w:t>
            </w:r>
          </w:p>
        </w:tc>
      </w:tr>
      <w:tr w:rsidR="0021698E" w:rsidRPr="0021698E" w:rsidTr="000D3E4E">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II dalis. Projekto pirkimui reikalingos lėšų sumos apskaičiavimui skirta rinkos apžvalga</w:t>
            </w:r>
          </w:p>
          <w:p w:rsidR="0021698E" w:rsidRPr="0021698E" w:rsidRDefault="0021698E" w:rsidP="0021698E">
            <w:pPr>
              <w:spacing w:after="0" w:line="240" w:lineRule="auto"/>
              <w:jc w:val="both"/>
              <w:rPr>
                <w:rFonts w:ascii="Times New Roman" w:eastAsia="Times New Roman" w:hAnsi="Times New Roman" w:cs="Times New Roman"/>
                <w:b/>
                <w:bCs/>
                <w:color w:val="000000"/>
                <w:sz w:val="20"/>
                <w:szCs w:val="32"/>
                <w:lang w:eastAsia="lt-LT"/>
              </w:rPr>
            </w:pPr>
          </w:p>
          <w:p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r w:rsidRPr="0021698E">
              <w:rPr>
                <w:rFonts w:ascii="Times New Roman" w:eastAsia="Times New Roman" w:hAnsi="Times New Roman" w:cs="Times New Roman"/>
                <w:b/>
                <w:sz w:val="20"/>
                <w:szCs w:val="10"/>
                <w:lang w:eastAsia="lt-LT"/>
              </w:rPr>
              <w:t xml:space="preserve">1. Informacija pareiškėjui apie būtiną įvertinti tiekėjų skaičių ir šio įvertinimo pagrindu apskaičiuoti pirkimui reikalingą lėšų sumą: </w:t>
            </w:r>
          </w:p>
          <w:p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p>
          <w:p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neviršija 1000 eurų be pridėtinės vertės (toliau – PVM) gali būti įvertinta </w:t>
            </w:r>
            <w:r w:rsidRPr="0021698E">
              <w:rPr>
                <w:rFonts w:ascii="Times New Roman" w:eastAsia="Times New Roman" w:hAnsi="Times New Roman" w:cs="Times New Roman"/>
                <w:i/>
                <w:sz w:val="20"/>
                <w:szCs w:val="10"/>
                <w:lang w:eastAsia="lt-LT"/>
              </w:rPr>
              <w:t>vieno tiekėjo</w:t>
            </w:r>
            <w:r w:rsidRPr="0021698E">
              <w:rPr>
                <w:rFonts w:ascii="Times New Roman" w:eastAsia="Times New Roman" w:hAnsi="Times New Roman" w:cs="Times New Roman"/>
                <w:sz w:val="20"/>
                <w:szCs w:val="10"/>
                <w:lang w:eastAsia="lt-LT"/>
              </w:rPr>
              <w:t xml:space="preserve"> informacija apie pirkimo objekto kainą; </w:t>
            </w:r>
          </w:p>
          <w:p w:rsidR="0021698E" w:rsidRPr="0021698E" w:rsidRDefault="0021698E" w:rsidP="0021698E">
            <w:pPr>
              <w:spacing w:after="0" w:line="240" w:lineRule="auto"/>
              <w:contextualSpacing/>
              <w:jc w:val="both"/>
              <w:rPr>
                <w:rFonts w:ascii="Times New Roman" w:eastAsia="Times New Roman" w:hAnsi="Times New Roman" w:cs="Times New Roman"/>
                <w:sz w:val="20"/>
                <w:szCs w:val="10"/>
                <w:lang w:eastAsia="lt-LT"/>
              </w:rPr>
            </w:pPr>
          </w:p>
          <w:p w:rsidR="0021698E" w:rsidRPr="0021698E" w:rsidRDefault="0021698E" w:rsidP="0021698E">
            <w:pPr>
              <w:numPr>
                <w:ilvl w:val="1"/>
                <w:numId w:val="4"/>
              </w:numPr>
              <w:tabs>
                <w:tab w:val="left" w:pos="411"/>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yra didesnė kaip 1000 eurų be PVM, bet neviršija 58 000 eurų be PVM, būtina įvertinti </w:t>
            </w:r>
            <w:r w:rsidRPr="0021698E">
              <w:rPr>
                <w:rFonts w:ascii="Times New Roman" w:eastAsia="Times New Roman" w:hAnsi="Times New Roman" w:cs="Times New Roman"/>
                <w:i/>
                <w:sz w:val="20"/>
                <w:szCs w:val="10"/>
                <w:lang w:eastAsia="lt-LT"/>
              </w:rPr>
              <w:t>ne mažiau 3 (trijų)</w:t>
            </w:r>
            <w:r w:rsidRPr="0021698E">
              <w:rPr>
                <w:rFonts w:ascii="Times New Roman" w:eastAsia="Times New Roman" w:hAnsi="Times New Roman" w:cs="Times New Roman"/>
                <w:sz w:val="20"/>
                <w:szCs w:val="10"/>
                <w:lang w:eastAsia="lt-LT"/>
              </w:rPr>
              <w:t xml:space="preserve"> tiekėjų informaciją apie pirkimo objekto kainą</w:t>
            </w:r>
            <w:r w:rsidRPr="0021698E">
              <w:rPr>
                <w:rFonts w:ascii="Times New Roman" w:eastAsia="Times New Roman" w:hAnsi="Times New Roman" w:cs="Times New Roman"/>
                <w:color w:val="4472C4" w:themeColor="accent5"/>
                <w:sz w:val="24"/>
                <w:szCs w:val="24"/>
                <w:vertAlign w:val="superscript"/>
                <w:lang w:eastAsia="lt-LT"/>
              </w:rPr>
              <w:t>*</w:t>
            </w:r>
            <w:r w:rsidRPr="0021698E">
              <w:rPr>
                <w:rFonts w:ascii="Times New Roman" w:eastAsia="Times New Roman" w:hAnsi="Times New Roman" w:cs="Times New Roman"/>
                <w:sz w:val="20"/>
                <w:szCs w:val="10"/>
                <w:lang w:eastAsia="lt-LT"/>
              </w:rPr>
              <w:t xml:space="preserve">; </w:t>
            </w:r>
          </w:p>
          <w:p w:rsidR="0021698E" w:rsidRPr="0021698E" w:rsidRDefault="0021698E" w:rsidP="0021698E">
            <w:pPr>
              <w:spacing w:after="0" w:line="240" w:lineRule="auto"/>
              <w:jc w:val="both"/>
              <w:rPr>
                <w:rFonts w:ascii="Times New Roman" w:eastAsia="Times New Roman" w:hAnsi="Times New Roman" w:cs="Times New Roman"/>
                <w:sz w:val="20"/>
                <w:szCs w:val="10"/>
                <w:lang w:eastAsia="lt-LT"/>
              </w:rPr>
            </w:pPr>
          </w:p>
          <w:p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Jei numatoma pirkimo objekto vertė viršija 58 000 eurus be PVM ir rinkoje yra iki 10 (dešimt) tiekėjų</w:t>
            </w:r>
            <w:r w:rsidRPr="0021698E">
              <w:rPr>
                <w:rFonts w:ascii="Times New Roman" w:eastAsia="Times New Roman" w:hAnsi="Times New Roman" w:cs="Times New Roman"/>
                <w:bCs/>
                <w:color w:val="000000"/>
                <w:sz w:val="20"/>
                <w:szCs w:val="24"/>
                <w:vertAlign w:val="superscript"/>
                <w:lang w:eastAsia="lt-LT"/>
              </w:rPr>
              <w:footnoteReference w:id="1"/>
            </w:r>
            <w:r w:rsidRPr="0021698E">
              <w:rPr>
                <w:rFonts w:ascii="Times New Roman" w:eastAsia="Times New Roman" w:hAnsi="Times New Roman" w:cs="Times New Roman"/>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visų</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4"/>
                <w:lang w:eastAsia="lt-LT"/>
              </w:rPr>
              <w:t>;</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numatoma pirkimo objekto vertė viršija 58 000 eurus be PVM ir rinkoje yra daugiau kaip 10 (dešimt) tiekėjų, kurie gali pasiūlyti PO reikiamų prekių, paslaugų ar darbų, PO turi imtis visų priemonių, kad įvertintų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0"/>
                <w:lang w:eastAsia="lt-LT"/>
              </w:rPr>
              <w:t>.</w:t>
            </w:r>
            <w:r w:rsidRPr="0021698E">
              <w:rPr>
                <w:rFonts w:ascii="Times New Roman" w:eastAsia="Times New Roman" w:hAnsi="Times New Roman" w:cs="Times New Roman"/>
                <w:bCs/>
                <w:color w:val="000000"/>
                <w:sz w:val="20"/>
                <w:szCs w:val="24"/>
                <w:lang w:eastAsia="lt-LT"/>
              </w:rPr>
              <w:t xml:space="preserve"> </w:t>
            </w:r>
          </w:p>
          <w:p w:rsidR="0021698E" w:rsidRPr="0021698E" w:rsidRDefault="0021698E" w:rsidP="0021698E">
            <w:pPr>
              <w:spacing w:after="0" w:line="240" w:lineRule="auto"/>
              <w:ind w:left="720" w:firstLine="720"/>
              <w:contextualSpacing/>
              <w:rPr>
                <w:rFonts w:ascii="Times New Roman" w:eastAsia="Times New Roman" w:hAnsi="Times New Roman" w:cs="Times New Roman"/>
                <w:b/>
                <w:bCs/>
                <w:color w:val="000000"/>
                <w:sz w:val="20"/>
                <w:szCs w:val="24"/>
                <w:lang w:eastAsia="lt-LT"/>
              </w:rPr>
            </w:pPr>
          </w:p>
          <w:p w:rsidR="0021698E" w:rsidRPr="0021698E" w:rsidRDefault="0021698E" w:rsidP="0021698E">
            <w:pPr>
              <w:tabs>
                <w:tab w:val="left" w:pos="411"/>
              </w:tabs>
              <w:spacing w:after="0" w:line="240" w:lineRule="auto"/>
              <w:jc w:val="both"/>
              <w:rPr>
                <w:rFonts w:ascii="Times New Roman" w:eastAsia="Times New Roman" w:hAnsi="Times New Roman" w:cs="Times New Roman"/>
                <w:sz w:val="20"/>
                <w:szCs w:val="10"/>
                <w:u w:val="single"/>
                <w:lang w:eastAsia="lt-LT"/>
              </w:rPr>
            </w:pP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
                <w:sz w:val="20"/>
                <w:szCs w:val="10"/>
                <w:lang w:eastAsia="lt-LT"/>
              </w:rPr>
              <w:t xml:space="preserve"> </w:t>
            </w:r>
            <w:r w:rsidRPr="0021698E">
              <w:rPr>
                <w:rFonts w:ascii="Times New Roman" w:eastAsia="Times New Roman" w:hAnsi="Times New Roman" w:cs="Times New Roman"/>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w:t>
            </w:r>
          </w:p>
          <w:p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2.</w:t>
            </w:r>
            <w:r w:rsidRPr="0021698E">
              <w:rPr>
                <w:rFonts w:ascii="Times New Roman" w:eastAsia="Times New Roman" w:hAnsi="Times New Roman" w:cs="Times New Roman"/>
                <w:bCs/>
                <w:color w:val="000000"/>
                <w:sz w:val="20"/>
                <w:szCs w:val="24"/>
                <w:lang w:eastAsia="lt-LT"/>
              </w:rPr>
              <w:t xml:space="preserve"> </w:t>
            </w:r>
            <w:r w:rsidRPr="0021698E">
              <w:rPr>
                <w:rFonts w:ascii="Times New Roman" w:eastAsia="Times New Roman" w:hAnsi="Times New Roman" w:cs="Times New Roman"/>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2.2.</w:t>
            </w:r>
            <w:r w:rsidRPr="0021698E">
              <w:rPr>
                <w:rFonts w:ascii="Times New Roman" w:eastAsia="Times New Roman" w:hAnsi="Times New Roman" w:cs="Times New Roman"/>
                <w:b/>
                <w:bCs/>
                <w:color w:val="000000"/>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hyperlink r:id="rId10" w:history="1">
              <w:r w:rsidRPr="0021698E">
                <w:rPr>
                  <w:rFonts w:ascii="Times New Roman" w:eastAsia="Times New Roman" w:hAnsi="Times New Roman" w:cs="Times New Roman"/>
                  <w:bCs/>
                  <w:color w:val="0563C1" w:themeColor="hyperlink"/>
                  <w:sz w:val="20"/>
                  <w:szCs w:val="24"/>
                  <w:u w:val="single"/>
                  <w:lang w:eastAsia="lt-LT"/>
                </w:rPr>
                <w:t>https://www.esf.lt/lt/susisiekite-su-mumis/dokumentai/paraiskos-rengimas/88?sqid=8107d1374d9598271c8f6327e309550e4d61e217</w:t>
              </w:r>
            </w:hyperlink>
            <w:r w:rsidRPr="0021698E">
              <w:rPr>
                <w:rFonts w:ascii="Times New Roman" w:eastAsia="Times New Roman" w:hAnsi="Times New Roman" w:cs="Times New Roman"/>
                <w:bCs/>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arba pagal CPVA atlikto su renginių organizavimu susijusių paslaugų rinkos tyrimo rezultatus, nurodytus CPVA tinklapyje adresu: </w:t>
            </w:r>
            <w:hyperlink r:id="rId11" w:history="1">
              <w:r w:rsidR="005939A3" w:rsidRPr="005939A3">
                <w:rPr>
                  <w:rStyle w:val="Hyperlink"/>
                  <w:rFonts w:ascii="Times New Roman" w:hAnsi="Times New Roman" w:cs="Times New Roman"/>
                  <w:sz w:val="20"/>
                  <w:szCs w:val="20"/>
                </w:rPr>
                <w:t>https://www.norwaygrants.lt/mfiles/Documents/items/102/d1_renginiu-organizavimui-skirtu-paslaugu-ikainiai.xlsx</w:t>
              </w:r>
            </w:hyperlink>
            <w:r w:rsidRPr="0021698E">
              <w:rPr>
                <w:rFonts w:ascii="Times New Roman" w:eastAsia="Times New Roman" w:hAnsi="Times New Roman" w:cs="Times New Roman"/>
                <w:bCs/>
                <w:color w:val="000000"/>
                <w:sz w:val="20"/>
                <w:szCs w:val="24"/>
                <w:lang w:eastAsia="lt-LT"/>
              </w:rPr>
              <w:t>. Projekto pirkimui reikalinga lėšų suma lygi ESFA arba CPVA rinkos analizėje pateiktai paslaugų kainai arba;</w:t>
            </w:r>
          </w:p>
          <w:p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pirkimui reikalinga lėšų suma apskaičiuota remiantis kompetentingų ekspertų (t. y. asmenų su pirkimo objektu susijusioje srityje turinčių specialių žinių) pateiktais skaičiavimais. Taikoma tik išimtiniais atvejais - darbų pirkimo atveju, kai nėra techninio projekto, kitų pirkimų atveju – tik tuomet, jei PO, dėjusi protingas pastangas, informacijos negalėjo gauti kitu būdu arba;</w:t>
            </w:r>
          </w:p>
          <w:p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rsidR="0021698E" w:rsidRPr="0021698E" w:rsidRDefault="0021698E" w:rsidP="0021698E">
            <w:p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p>
          <w:p w:rsidR="0021698E" w:rsidRPr="0021698E" w:rsidRDefault="0021698E" w:rsidP="0021698E">
            <w:pPr>
              <w:spacing w:after="0" w:line="240" w:lineRule="auto"/>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 xml:space="preserve">Informacija apie PO pastangas gauti iš pakankamo skaičiaus tiekėjų informaciją, nurodoma šios  suvestinės II dalies 3 punkto atitinkamuose papunkčiuose. </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rsidR="0021698E" w:rsidRPr="0021698E" w:rsidRDefault="0021698E" w:rsidP="0021698E">
            <w:pPr>
              <w:numPr>
                <w:ilvl w:val="0"/>
                <w:numId w:val="2"/>
              </w:numPr>
              <w:spacing w:after="0" w:line="240" w:lineRule="auto"/>
              <w:ind w:left="269" w:hanging="284"/>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Faktinė pareiškėjo atliktos rinkos apžvalgos suvestinė:</w:t>
            </w:r>
          </w:p>
          <w:p w:rsidR="0021698E" w:rsidRPr="0021698E" w:rsidRDefault="0021698E" w:rsidP="0021698E">
            <w:pPr>
              <w:spacing w:after="0" w:line="240" w:lineRule="auto"/>
              <w:contextualSpacing/>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rsidR="0021698E" w:rsidRPr="0021698E" w:rsidTr="000D3E4E">
        <w:trPr>
          <w:trHeight w:val="12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b/>
                <w:color w:val="FF0000"/>
                <w:sz w:val="24"/>
                <w:szCs w:val="24"/>
                <w:lang w:eastAsia="lt-LT"/>
              </w:rPr>
              <w:t>Nurodomi visi tiekėjai, kurių informaciją apie pirkimo objektą PO vertino ir (arba), į kuriuos PO kreipėsi, tačiau tiekėjai atsakymo nepateikė</w:t>
            </w:r>
            <w:r w:rsidRPr="0021698E">
              <w:rPr>
                <w:rFonts w:ascii="Times New Roman" w:eastAsia="Times New Roman" w:hAnsi="Times New Roman" w:cs="Times New Roman"/>
                <w:color w:val="FF0000"/>
                <w:sz w:val="24"/>
                <w:szCs w:val="24"/>
                <w:lang w:eastAsia="lt-LT"/>
              </w:rPr>
              <w:t xml:space="preserve"> </w:t>
            </w:r>
            <w:r w:rsidRPr="0021698E">
              <w:rPr>
                <w:rFonts w:ascii="Times New Roman" w:eastAsia="Times New Roman" w:hAnsi="Times New Roman" w:cs="Times New Roman"/>
                <w:sz w:val="20"/>
                <w:szCs w:val="20"/>
                <w:lang w:eastAsia="lt-LT"/>
              </w:rPr>
              <w:t>(</w:t>
            </w:r>
            <w:r w:rsidRPr="0021698E">
              <w:rPr>
                <w:rFonts w:ascii="Times New Roman" w:eastAsia="Times New Roman" w:hAnsi="Times New Roman" w:cs="Times New Roman"/>
                <w:i/>
                <w:sz w:val="20"/>
                <w:szCs w:val="20"/>
                <w:lang w:eastAsia="lt-LT"/>
              </w:rPr>
              <w:t xml:space="preserve">nėra privaloma, kai numatoma pirkimo objekto vertė neviršija 1000 eurų be PVM). </w:t>
            </w:r>
          </w:p>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p>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Nurodomi tiekėjų pavadinimai.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rsidTr="000D3E4E">
        <w:trPr>
          <w:trHeight w:val="552"/>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remiasi savo istoriniais duomenimis apie pirkimo objektą,  nurodomi tiekėjai per paskutinius trejus metus dalyvavę ir (arba) laimėję analogiškuose ar panašiuose PO pirkimuose ir jų pasiūlyta kaina</w:t>
            </w:r>
            <w:r w:rsidRPr="0021698E">
              <w:rPr>
                <w:rFonts w:ascii="Times New Roman" w:eastAsia="Times New Roman" w:hAnsi="Times New Roman" w:cs="Times New Roman"/>
                <w:sz w:val="20"/>
                <w:szCs w:val="20"/>
                <w:lang w:eastAsia="lt-LT"/>
              </w:rPr>
              <w:t>.</w:t>
            </w:r>
          </w:p>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0"/>
                <w:lang w:eastAsia="lt-LT"/>
              </w:rPr>
            </w:pPr>
            <w:r w:rsidRPr="0021698E">
              <w:rPr>
                <w:rFonts w:ascii="Times New Roman" w:eastAsia="Times New Roman" w:hAnsi="Times New Roman" w:cs="Times New Roman"/>
                <w:color w:val="000000"/>
                <w:sz w:val="20"/>
                <w:szCs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sidRPr="0021698E">
              <w:rPr>
                <w:rFonts w:ascii="Times New Roman" w:eastAsia="Times New Roman" w:hAnsi="Times New Roman" w:cs="Times New Roman"/>
                <w:i/>
                <w:color w:val="000000"/>
                <w:sz w:val="20"/>
                <w:szCs w:val="20"/>
                <w:lang w:eastAsia="lt-LT"/>
              </w:rPr>
              <w:t>pagrįstai</w:t>
            </w:r>
            <w:r w:rsidRPr="0021698E">
              <w:rPr>
                <w:rFonts w:ascii="Times New Roman" w:eastAsia="Times New Roman" w:hAnsi="Times New Roman" w:cs="Times New Roman"/>
                <w:color w:val="000000"/>
                <w:sz w:val="20"/>
                <w:szCs w:val="20"/>
                <w:lang w:eastAsia="lt-LT"/>
              </w:rPr>
              <w:t xml:space="preserve"> 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viešojo pirkimo-pardavimo sutarties sudarymo data ir numeris. </w:t>
            </w:r>
          </w:p>
        </w:tc>
      </w:tr>
      <w:tr w:rsidR="0021698E" w:rsidRPr="0021698E" w:rsidTr="000D3E4E">
        <w:trPr>
          <w:trHeight w:val="12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3.3</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sidRPr="0021698E">
              <w:rPr>
                <w:rFonts w:ascii="Times New Roman" w:eastAsia="Times New Roman" w:hAnsi="Times New Roman" w:cs="Times New Roman"/>
                <w:i/>
                <w:iCs/>
                <w:sz w:val="20"/>
                <w:szCs w:val="24"/>
                <w:lang w:eastAsia="lt-LT"/>
              </w:rPr>
              <w:t xml:space="preserve">arba panašių techninių/funkcinių parametrų </w:t>
            </w:r>
            <w:r w:rsidRPr="0021698E">
              <w:rPr>
                <w:rFonts w:ascii="Times New Roman" w:eastAsia="Times New Roman" w:hAnsi="Times New Roman" w:cs="Times New Roman"/>
                <w:i/>
                <w:iCs/>
                <w:color w:val="000000"/>
                <w:sz w:val="20"/>
                <w:szCs w:val="24"/>
                <w:lang w:eastAsia="lt-LT"/>
              </w:rPr>
              <w:t>pirkimo objektą.</w:t>
            </w:r>
          </w:p>
        </w:tc>
      </w:tr>
      <w:tr w:rsidR="0021698E" w:rsidRPr="0021698E" w:rsidTr="000D3E4E">
        <w:trPr>
          <w:trHeight w:val="12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3.4</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iš viešai prieinamų </w:t>
            </w:r>
            <w:r w:rsidRPr="0021698E">
              <w:rPr>
                <w:rFonts w:ascii="Times New Roman" w:eastAsia="Times New Roman" w:hAnsi="Times New Roman" w:cs="Times New Roman"/>
                <w:sz w:val="20"/>
                <w:szCs w:val="24"/>
                <w:lang w:eastAsia="lt-LT"/>
              </w:rPr>
              <w:t xml:space="preserve">informacijos šaltinių </w:t>
            </w:r>
            <w:r w:rsidRPr="0021698E">
              <w:rPr>
                <w:rFonts w:ascii="Times New Roman" w:eastAsia="Times New Roman" w:hAnsi="Times New Roman" w:cs="Times New Roman"/>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rsidR="0021698E" w:rsidRPr="0021698E" w:rsidTr="000D3E4E">
        <w:trPr>
          <w:trHeight w:val="977"/>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3.5</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Rinkos dalyvių konsultacijos (Viešųjų pirkimų įstatymo 27 straipsnis) metu gauta informacija (taikoma, jei PO</w:t>
            </w:r>
            <w:r w:rsidRPr="0021698E">
              <w:rPr>
                <w:rFonts w:ascii="Times New Roman" w:eastAsia="Times New Roman" w:hAnsi="Times New Roman" w:cs="Times New Roman"/>
                <w:sz w:val="20"/>
                <w:szCs w:val="20"/>
                <w:lang w:eastAsia="lt-LT"/>
              </w:rPr>
              <w:t xml:space="preserve"> </w:t>
            </w:r>
            <w:r w:rsidRPr="0021698E">
              <w:rPr>
                <w:rFonts w:ascii="Times New Roman" w:eastAsia="Times New Roman" w:hAnsi="Times New Roman" w:cs="Times New Roman"/>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tiekėjai, dalyvavę konsultacijoje, jų nurodyta pirkimo objekto kaina. </w:t>
            </w:r>
          </w:p>
        </w:tc>
      </w:tr>
      <w:tr w:rsidR="0021698E" w:rsidRPr="0021698E" w:rsidTr="000D3E4E">
        <w:trPr>
          <w:trHeight w:val="12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3.6</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Pvz.: apklausiant tiekėjus el. paštu, telefonu, gavus informaciją iš užsienio šalių ambasados Lietuvoje ar </w:t>
            </w:r>
            <w:r w:rsidRPr="0021698E">
              <w:rPr>
                <w:rFonts w:ascii="Times New Roman" w:eastAsia="Times New Roman" w:hAnsi="Times New Roman" w:cs="Times New Roman"/>
                <w:i/>
                <w:iCs/>
                <w:sz w:val="20"/>
                <w:szCs w:val="24"/>
                <w:lang w:eastAsia="lt-LT"/>
              </w:rPr>
              <w:t xml:space="preserve">prekybos rūmų, </w:t>
            </w:r>
            <w:r w:rsidRPr="0021698E">
              <w:rPr>
                <w:rFonts w:ascii="Times New Roman" w:eastAsia="Times New Roman" w:hAnsi="Times New Roman" w:cs="Times New Roman"/>
                <w:i/>
                <w:sz w:val="20"/>
                <w:szCs w:val="24"/>
                <w:lang w:eastAsia="lt-LT"/>
              </w:rPr>
              <w:t>kreipiantis į nepriklausomus ekspertus,</w:t>
            </w:r>
            <w:r w:rsidRPr="0021698E">
              <w:rPr>
                <w:rFonts w:ascii="Times New Roman" w:eastAsia="Times New Roman" w:hAnsi="Times New Roman" w:cs="Times New Roman"/>
                <w:i/>
                <w:iCs/>
                <w:sz w:val="20"/>
                <w:szCs w:val="24"/>
                <w:lang w:eastAsia="lt-LT"/>
              </w:rPr>
              <w:t xml:space="preserve"> nurodomi tiekėjų pavadinimai, kontaktinis telefonas ar elektroninio pašto adresas, tiekėjų nurodyta pirkimo objekto kaina bei kokiu būdu ši informacija gauta.</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Jei atsakymus pateikė ne visi apklausti tiekėjai, PO tai nurodo šioje skiltyje.</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Visiems tiekėjams būtina pateikti vienodą informaciją.</w:t>
            </w:r>
          </w:p>
        </w:tc>
      </w:tr>
      <w:tr w:rsidR="0021698E" w:rsidRPr="0021698E" w:rsidTr="000D3E4E">
        <w:trPr>
          <w:trHeight w:val="554"/>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3.7</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Nurodoma, jei tyrimas atliekamas dėl prekių.</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Rinkos tyrimas negali būti atliekamas dėl vieno konkretaus modelio.</w:t>
            </w:r>
          </w:p>
        </w:tc>
      </w:tr>
      <w:tr w:rsidR="0021698E" w:rsidRPr="0021698E" w:rsidTr="000D3E4E">
        <w:trPr>
          <w:trHeight w:val="689"/>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3.8</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Kiti objektyvūs ir pagrįsti veiksniai bei  paskaičiavimai (jei taikoma), galintys turėti įtakos pirkimo objekto kainos pokyčiams </w:t>
            </w:r>
            <w:r w:rsidRPr="0021698E">
              <w:rPr>
                <w:rFonts w:ascii="Times New Roman" w:eastAsia="Times New Roman" w:hAnsi="Times New Roman" w:cs="Times New Roman"/>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Įvertinama: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sidRPr="0021698E">
              <w:rPr>
                <w:rFonts w:ascii="Times New Roman" w:eastAsia="Times New Roman" w:hAnsi="Times New Roman" w:cs="Times New Roman"/>
                <w:i/>
                <w:iCs/>
                <w:sz w:val="20"/>
                <w:szCs w:val="24"/>
                <w:lang w:eastAsia="lt-LT"/>
              </w:rPr>
              <w:t xml:space="preserve">kainai);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2) prognozuojamas bendrosios infliacijos didėjimas pagal Lietuvos banko (</w:t>
            </w:r>
            <w:hyperlink r:id="rId12" w:history="1">
              <w:r w:rsidRPr="0021698E">
                <w:rPr>
                  <w:rFonts w:ascii="Times New Roman" w:eastAsia="Times New Roman" w:hAnsi="Times New Roman" w:cs="Times New Roman"/>
                  <w:i/>
                  <w:iCs/>
                  <w:color w:val="0563C1" w:themeColor="hyperlink"/>
                  <w:sz w:val="20"/>
                  <w:szCs w:val="24"/>
                  <w:u w:val="single"/>
                  <w:lang w:eastAsia="lt-LT"/>
                </w:rPr>
                <w:t>https://www.lb.lt/lt/mv-ekonomikos-analize-ir-prognozes</w:t>
              </w:r>
            </w:hyperlink>
            <w:r w:rsidRPr="0021698E">
              <w:rPr>
                <w:rFonts w:ascii="Times New Roman" w:eastAsia="Times New Roman" w:hAnsi="Times New Roman" w:cs="Times New Roman"/>
                <w:i/>
                <w:iCs/>
                <w:sz w:val="20"/>
                <w:szCs w:val="24"/>
                <w:lang w:eastAsia="lt-LT"/>
              </w:rPr>
              <w:t>) ar Lietuvos Respublikos finansų ministerijos (</w:t>
            </w:r>
            <w:hyperlink r:id="rId13" w:history="1">
              <w:r w:rsidRPr="0021698E">
                <w:rPr>
                  <w:rFonts w:ascii="Times New Roman" w:eastAsia="Times New Roman" w:hAnsi="Times New Roman" w:cs="Times New Roman"/>
                  <w:i/>
                  <w:iCs/>
                  <w:color w:val="0563C1" w:themeColor="hyperlink"/>
                  <w:sz w:val="20"/>
                  <w:szCs w:val="24"/>
                  <w:u w:val="single"/>
                  <w:lang w:eastAsia="lt-LT"/>
                </w:rPr>
                <w:t>http://finmin.lrv.lt/lt/aktualus-valstybes-finansu-duomenys/ekonomines-raidos-scenarijus</w:t>
              </w:r>
            </w:hyperlink>
            <w:r w:rsidRPr="0021698E">
              <w:rPr>
                <w:rFonts w:ascii="Times New Roman" w:eastAsia="Times New Roman" w:hAnsi="Times New Roman" w:cs="Times New Roman"/>
                <w:i/>
                <w:iCs/>
                <w:sz w:val="20"/>
                <w:szCs w:val="24"/>
                <w:lang w:eastAsia="lt-LT"/>
              </w:rPr>
              <w:t xml:space="preserve"> ) skelbiamą informaciją;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3) faktinis infliacijos dydis pagal Lietuvos statistikos departamento duomenis;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sidRPr="0021698E">
              <w:rPr>
                <w:rFonts w:ascii="Times New Roman" w:eastAsia="Times New Roman" w:hAnsi="Times New Roman" w:cs="Times New Roman"/>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rsidR="0021698E" w:rsidRPr="0021698E" w:rsidRDefault="0021698E" w:rsidP="0021698E">
            <w:pPr>
              <w:spacing w:after="0" w:line="240" w:lineRule="auto"/>
              <w:jc w:val="both"/>
              <w:rPr>
                <w:rFonts w:ascii="Times New Roman" w:eastAsia="Times New Roman" w:hAnsi="Times New Roman" w:cs="Times New Roman"/>
                <w:b/>
                <w:i/>
                <w:iCs/>
                <w:color w:val="000000"/>
                <w:sz w:val="20"/>
                <w:szCs w:val="24"/>
                <w:lang w:eastAsia="lt-LT"/>
              </w:rPr>
            </w:pPr>
            <w:r w:rsidRPr="0021698E">
              <w:rPr>
                <w:rFonts w:ascii="Times New Roman" w:eastAsia="Times New Roman" w:hAnsi="Times New Roman" w:cs="Times New Roman"/>
                <w:b/>
                <w:i/>
                <w:iCs/>
                <w:color w:val="000000"/>
                <w:sz w:val="20"/>
                <w:szCs w:val="24"/>
                <w:lang w:eastAsia="lt-LT"/>
              </w:rPr>
              <w:t>Apskaičiuotas ar kitaip objektyviai nustatytas procentinis dydis gali būti pridedamas prie paskaičiuoto vidurkio, kuris naudojamas pirkimui reikalinga lėšų sumos nustatymui (detaliau žr. III dalies „Išvados“ 1 ir 2 punktus).</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rsidTr="000D3E4E">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III dalis. Išvados</w:t>
            </w:r>
          </w:p>
        </w:tc>
      </w:tr>
      <w:tr w:rsidR="0021698E" w:rsidRPr="0021698E" w:rsidTr="000D3E4E">
        <w:trPr>
          <w:trHeight w:val="410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Tiekėjų pasiūlytos kainos ir kainų aritmetinis vidurkis</w:t>
            </w:r>
            <w:r w:rsidRPr="0021698E">
              <w:rPr>
                <w:rFonts w:ascii="Times New Roman" w:eastAsia="Times New Roman" w:hAnsi="Times New Roman" w:cs="Times New Roman"/>
                <w:b/>
                <w:color w:val="FF0000"/>
                <w:sz w:val="24"/>
                <w:szCs w:val="24"/>
                <w:vertAlign w:val="superscript"/>
                <w:lang w:eastAsia="lt-LT"/>
              </w:rPr>
              <w:footnoteReference w:id="2"/>
            </w:r>
            <w:r w:rsidRPr="0021698E">
              <w:rPr>
                <w:rFonts w:ascii="Times New Roman" w:eastAsia="Times New Roman" w:hAnsi="Times New Roman" w:cs="Times New Roman"/>
                <w:b/>
                <w:color w:val="FF0000"/>
                <w:sz w:val="24"/>
                <w:szCs w:val="24"/>
                <w:lang w:eastAsia="lt-LT"/>
              </w:rPr>
              <w:t>.</w:t>
            </w:r>
          </w:p>
          <w:p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r w:rsidRPr="0021698E">
              <w:rPr>
                <w:rFonts w:ascii="Times New Roman" w:eastAsia="Times New Roman" w:hAnsi="Times New Roman" w:cs="Times New Roman"/>
                <w:b/>
                <w:color w:val="000000"/>
                <w:sz w:val="20"/>
                <w:szCs w:val="24"/>
                <w:lang w:eastAsia="lt-LT"/>
              </w:rPr>
              <w:t>Jis bus apskaičiuotas automatiškai PO suvedus informaciją į dešinėje pusėje esančias skiltis „Tiekėjo pavadinimas“ ir „Pasiūlymo kaina“.</w:t>
            </w:r>
          </w:p>
          <w:p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p>
          <w:p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bookmarkStart w:id="0" w:name="_MON_1608968183"/>
        <w:bookmarkEnd w:id="0"/>
        <w:tc>
          <w:tcPr>
            <w:tcW w:w="6067" w:type="dxa"/>
            <w:tcBorders>
              <w:top w:val="single" w:sz="8" w:space="0" w:color="auto"/>
              <w:left w:val="nil"/>
              <w:bottom w:val="single" w:sz="8" w:space="0" w:color="auto"/>
              <w:right w:val="single" w:sz="8" w:space="0" w:color="auto"/>
            </w:tcBorders>
            <w:shd w:val="clear" w:color="auto" w:fill="E7E6E6"/>
            <w:vAlign w:val="bottom"/>
          </w:tcPr>
          <w:p w:rsidR="0021698E" w:rsidRPr="0021698E" w:rsidRDefault="0021698E" w:rsidP="0021698E">
            <w:pPr>
              <w:spacing w:after="0" w:line="240" w:lineRule="auto"/>
              <w:jc w:val="center"/>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4"/>
                <w:szCs w:val="24"/>
              </w:rPr>
              <w:object w:dxaOrig="6126" w:dyaOrig="3775" w14:anchorId="1C0F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93.5pt" o:ole="">
                  <v:imagedata r:id="rId14" o:title=""/>
                </v:shape>
                <o:OLEObject Type="Embed" ProgID="Excel.Sheet.12" ShapeID="_x0000_i1025" DrawAspect="Content" ObjectID="_1685532523" r:id="rId15"/>
              </w:object>
            </w:r>
          </w:p>
        </w:tc>
      </w:tr>
      <w:tr w:rsidR="0021698E" w:rsidRPr="0021698E" w:rsidTr="000D3E4E">
        <w:trPr>
          <w:trHeight w:val="13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 Pirkimui reikalinga lėšų suma</w:t>
            </w:r>
          </w:p>
          <w:p w:rsidR="0021698E" w:rsidRPr="0021698E" w:rsidRDefault="0021698E" w:rsidP="0021698E">
            <w:pPr>
              <w:spacing w:after="0" w:line="240" w:lineRule="auto"/>
              <w:ind w:right="117"/>
              <w:jc w:val="both"/>
              <w:rPr>
                <w:rFonts w:ascii="Times New Roman" w:eastAsia="Times New Roman" w:hAnsi="Times New Roman" w:cs="Times New Roman"/>
                <w:color w:val="000000"/>
                <w:sz w:val="24"/>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Pareiškėjas į projekto biudžetą turi teisę įtraukti mažesnę lėšų sumą nei tiekėjų pasiūlytos kainos ir kainų aritmetinis vidurkis. </w:t>
            </w:r>
          </w:p>
        </w:tc>
      </w:tr>
    </w:tbl>
    <w:p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rsidR="001A00AC" w:rsidRDefault="001A00AC"/>
    <w:sectPr w:rsidR="001A00AC" w:rsidSect="00E13077">
      <w:footerReference w:type="default" r:id="rId16"/>
      <w:pgSz w:w="12240" w:h="15840"/>
      <w:pgMar w:top="851" w:right="567"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2B1" w16cex:dateUtc="2020-03-19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482516" w16cid:durableId="221DF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AF" w:rsidRDefault="00BB08AF" w:rsidP="0021698E">
      <w:pPr>
        <w:spacing w:after="0" w:line="240" w:lineRule="auto"/>
      </w:pPr>
      <w:r>
        <w:separator/>
      </w:r>
    </w:p>
  </w:endnote>
  <w:endnote w:type="continuationSeparator" w:id="0">
    <w:p w:rsidR="00BB08AF" w:rsidRDefault="00BB08AF" w:rsidP="002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rsidR="00132383" w:rsidRDefault="0021698E">
        <w:pPr>
          <w:pStyle w:val="Footer"/>
          <w:jc w:val="right"/>
        </w:pPr>
        <w:r>
          <w:fldChar w:fldCharType="begin"/>
        </w:r>
        <w:r>
          <w:instrText xml:space="preserve"> PAGE   \* MERGEFORMAT </w:instrText>
        </w:r>
        <w:r>
          <w:fldChar w:fldCharType="separate"/>
        </w:r>
        <w:r w:rsidR="005939A3">
          <w:rPr>
            <w:noProof/>
          </w:rPr>
          <w:t>3</w:t>
        </w:r>
        <w:r>
          <w:rPr>
            <w:noProof/>
          </w:rPr>
          <w:fldChar w:fldCharType="end"/>
        </w:r>
      </w:p>
    </w:sdtContent>
  </w:sdt>
  <w:p w:rsidR="00132383" w:rsidRDefault="00BB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AF" w:rsidRDefault="00BB08AF" w:rsidP="0021698E">
      <w:pPr>
        <w:spacing w:after="0" w:line="240" w:lineRule="auto"/>
      </w:pPr>
      <w:r>
        <w:separator/>
      </w:r>
    </w:p>
  </w:footnote>
  <w:footnote w:type="continuationSeparator" w:id="0">
    <w:p w:rsidR="00BB08AF" w:rsidRDefault="00BB08AF" w:rsidP="0021698E">
      <w:pPr>
        <w:spacing w:after="0" w:line="240" w:lineRule="auto"/>
      </w:pPr>
      <w:r>
        <w:continuationSeparator/>
      </w:r>
    </w:p>
  </w:footnote>
  <w:footnote w:id="1">
    <w:p w:rsidR="0021698E" w:rsidRPr="00A1502E" w:rsidRDefault="0021698E" w:rsidP="0021698E">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PO vykdytų panašių pirkimų analizę; </w:t>
      </w:r>
    </w:p>
    <w:p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CVP</w:t>
      </w:r>
      <w:r>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rsidR="0021698E" w:rsidRPr="00072C60" w:rsidRDefault="0021698E" w:rsidP="0021698E">
      <w:pPr>
        <w:pStyle w:val="FootnoteText"/>
        <w:numPr>
          <w:ilvl w:val="0"/>
          <w:numId w:val="3"/>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rsidR="0021698E" w:rsidRPr="00620845" w:rsidRDefault="0021698E" w:rsidP="0021698E">
      <w:pPr>
        <w:jc w:val="both"/>
        <w:rPr>
          <w:rFonts w:ascii="Times New Roman" w:hAnsi="Times New Roman" w:cs="Times New Roman"/>
        </w:rPr>
      </w:pPr>
      <w:r w:rsidRPr="00620845">
        <w:rPr>
          <w:rFonts w:ascii="Times New Roman" w:hAnsi="Times New Roman" w:cs="Times New Roman"/>
          <w:vertAlign w:val="superscript"/>
        </w:rPr>
        <w:footnoteRef/>
      </w:r>
      <w:r w:rsidRPr="00620845">
        <w:rPr>
          <w:rFonts w:ascii="Times New Roman" w:hAnsi="Times New Roman" w:cs="Times New Roman"/>
        </w:rPr>
        <w:t xml:space="preserve"> Suma apskaičiuojama automatiškai, į </w:t>
      </w:r>
      <w:r>
        <w:rPr>
          <w:rFonts w:ascii="Times New Roman" w:hAnsi="Times New Roman" w:cs="Times New Roman"/>
        </w:rPr>
        <w:t xml:space="preserve">suvestinę </w:t>
      </w:r>
      <w:r w:rsidRPr="00620845">
        <w:rPr>
          <w:rFonts w:ascii="Times New Roman" w:hAnsi="Times New Roman" w:cs="Times New Roman"/>
        </w:rPr>
        <w:t xml:space="preserve">suvedus informaciją apie tiekėjus ir jų siūloma kainą. </w:t>
      </w:r>
    </w:p>
    <w:p w:rsidR="0021698E" w:rsidRDefault="0021698E" w:rsidP="00216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E"/>
    <w:rsid w:val="001A00AC"/>
    <w:rsid w:val="0021698E"/>
    <w:rsid w:val="00366B96"/>
    <w:rsid w:val="004C61A3"/>
    <w:rsid w:val="005939A3"/>
    <w:rsid w:val="005A794C"/>
    <w:rsid w:val="005E671B"/>
    <w:rsid w:val="0065410C"/>
    <w:rsid w:val="007D6918"/>
    <w:rsid w:val="00836928"/>
    <w:rsid w:val="008B6FCC"/>
    <w:rsid w:val="008C7BFB"/>
    <w:rsid w:val="0094037D"/>
    <w:rsid w:val="00952F8E"/>
    <w:rsid w:val="00B66992"/>
    <w:rsid w:val="00BB08AF"/>
    <w:rsid w:val="00DE5591"/>
    <w:rsid w:val="00F84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A878"/>
  <w15:chartTrackingRefBased/>
  <w15:docId w15:val="{8393840C-7EF5-49F5-9B94-0540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698E"/>
  </w:style>
  <w:style w:type="paragraph" w:styleId="FootnoteText">
    <w:name w:val="footnote text"/>
    <w:basedOn w:val="Normal"/>
    <w:link w:val="FootnoteTextChar"/>
    <w:uiPriority w:val="99"/>
    <w:semiHidden/>
    <w:unhideWhenUsed/>
    <w:rsid w:val="0021698E"/>
    <w:pPr>
      <w:spacing w:after="0" w:line="240" w:lineRule="auto"/>
      <w:ind w:firstLine="720"/>
    </w:pPr>
    <w:rPr>
      <w:rFonts w:ascii="Arial" w:eastAsia="Times New Roman" w:hAnsi="Arial" w:cs="Arial"/>
      <w:sz w:val="20"/>
      <w:szCs w:val="20"/>
      <w:lang w:eastAsia="lt-LT"/>
    </w:rPr>
  </w:style>
  <w:style w:type="character" w:customStyle="1" w:styleId="FootnoteTextChar">
    <w:name w:val="Footnote Text Char"/>
    <w:basedOn w:val="DefaultParagraphFont"/>
    <w:link w:val="FootnoteText"/>
    <w:uiPriority w:val="99"/>
    <w:semiHidden/>
    <w:rsid w:val="0021698E"/>
    <w:rPr>
      <w:rFonts w:ascii="Arial" w:eastAsia="Times New Roman" w:hAnsi="Arial" w:cs="Arial"/>
      <w:sz w:val="20"/>
      <w:szCs w:val="20"/>
      <w:lang w:eastAsia="lt-LT"/>
    </w:rPr>
  </w:style>
  <w:style w:type="character" w:styleId="FootnoteReference">
    <w:name w:val="footnote reference"/>
    <w:basedOn w:val="DefaultParagraphFont"/>
    <w:uiPriority w:val="99"/>
    <w:semiHidden/>
    <w:unhideWhenUsed/>
    <w:rsid w:val="0021698E"/>
    <w:rPr>
      <w:vertAlign w:val="superscript"/>
    </w:rPr>
  </w:style>
  <w:style w:type="character" w:styleId="CommentReference">
    <w:name w:val="annotation reference"/>
    <w:basedOn w:val="DefaultParagraphFont"/>
    <w:uiPriority w:val="99"/>
    <w:semiHidden/>
    <w:unhideWhenUsed/>
    <w:rsid w:val="00836928"/>
    <w:rPr>
      <w:sz w:val="16"/>
      <w:szCs w:val="16"/>
    </w:rPr>
  </w:style>
  <w:style w:type="paragraph" w:styleId="CommentText">
    <w:name w:val="annotation text"/>
    <w:basedOn w:val="Normal"/>
    <w:link w:val="CommentTextChar"/>
    <w:uiPriority w:val="99"/>
    <w:semiHidden/>
    <w:unhideWhenUsed/>
    <w:rsid w:val="00836928"/>
    <w:pPr>
      <w:spacing w:line="240" w:lineRule="auto"/>
    </w:pPr>
    <w:rPr>
      <w:sz w:val="20"/>
      <w:szCs w:val="20"/>
    </w:rPr>
  </w:style>
  <w:style w:type="character" w:customStyle="1" w:styleId="CommentTextChar">
    <w:name w:val="Comment Text Char"/>
    <w:basedOn w:val="DefaultParagraphFont"/>
    <w:link w:val="CommentText"/>
    <w:uiPriority w:val="99"/>
    <w:semiHidden/>
    <w:rsid w:val="00836928"/>
    <w:rPr>
      <w:sz w:val="20"/>
      <w:szCs w:val="20"/>
    </w:rPr>
  </w:style>
  <w:style w:type="paragraph" w:styleId="CommentSubject">
    <w:name w:val="annotation subject"/>
    <w:basedOn w:val="CommentText"/>
    <w:next w:val="CommentText"/>
    <w:link w:val="CommentSubjectChar"/>
    <w:uiPriority w:val="99"/>
    <w:semiHidden/>
    <w:unhideWhenUsed/>
    <w:rsid w:val="00836928"/>
    <w:rPr>
      <w:b/>
      <w:bCs/>
    </w:rPr>
  </w:style>
  <w:style w:type="character" w:customStyle="1" w:styleId="CommentSubjectChar">
    <w:name w:val="Comment Subject Char"/>
    <w:basedOn w:val="CommentTextChar"/>
    <w:link w:val="CommentSubject"/>
    <w:uiPriority w:val="99"/>
    <w:semiHidden/>
    <w:rsid w:val="00836928"/>
    <w:rPr>
      <w:b/>
      <w:bCs/>
      <w:sz w:val="20"/>
      <w:szCs w:val="20"/>
    </w:rPr>
  </w:style>
  <w:style w:type="paragraph" w:styleId="BalloonText">
    <w:name w:val="Balloon Text"/>
    <w:basedOn w:val="Normal"/>
    <w:link w:val="BalloonTextChar"/>
    <w:uiPriority w:val="99"/>
    <w:semiHidden/>
    <w:unhideWhenUsed/>
    <w:rsid w:val="0083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8"/>
    <w:rPr>
      <w:rFonts w:ascii="Segoe UI" w:hAnsi="Segoe UI" w:cs="Segoe UI"/>
      <w:sz w:val="18"/>
      <w:szCs w:val="18"/>
    </w:rPr>
  </w:style>
  <w:style w:type="character" w:styleId="Hyperlink">
    <w:name w:val="Hyperlink"/>
    <w:basedOn w:val="DefaultParagraphFont"/>
    <w:uiPriority w:val="99"/>
    <w:semiHidden/>
    <w:unhideWhenUsed/>
    <w:rsid w:val="005939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nmin.lrv.lt/lt/aktualus-valstybes-finansu-duomenys/ekonomines-raidos-scenarij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lt/lt/mv-ekonomikos-analize-ir-progno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waygrants.lt/mfiles/Documents/items/102/d1_renginiu-organizavimui-skirtu-paslaugu-ikainiai.xlsx" TargetMode="External"/><Relationship Id="rId5" Type="http://schemas.openxmlformats.org/officeDocument/2006/relationships/styles" Target="styles.xml"/><Relationship Id="rId15" Type="http://schemas.openxmlformats.org/officeDocument/2006/relationships/package" Target="embeddings/Microsoft_Excel_Worksheet.xlsx"/><Relationship Id="rId23" Type="http://schemas.microsoft.com/office/2016/09/relationships/commentsIds" Target="commentsIds.xml"/><Relationship Id="rId10" Type="http://schemas.openxmlformats.org/officeDocument/2006/relationships/hyperlink" Target="https://www.esf.lt/lt/susisiekite-su-mumis/dokumentai/paraiskos-rengimas/88?sqid=8107d1374d9598271c8f6327e309550e4d61e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10474-100F-47D6-824B-9E9C7684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F959A-976F-4E76-9957-328F3B3C69CC}">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43036742-3F21-47B7-A5BE-4819F0710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10540</Words>
  <Characters>6008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Gairės_9 priedas</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Gairės_9 priedas</dc:title>
  <dc:subject/>
  <dc:creator>Oksana Ščerbickienė</dc:creator>
  <cp:keywords/>
  <dc:description/>
  <cp:lastModifiedBy>Marius Navadunskis</cp:lastModifiedBy>
  <cp:revision>2</cp:revision>
  <dcterms:created xsi:type="dcterms:W3CDTF">2021-06-18T11:28:00Z</dcterms:created>
  <dcterms:modified xsi:type="dcterms:W3CDTF">2021-06-18T11:28:00Z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274;#Inga Lukoševičiūtė;#234;#Rasa Suraučienė</vt:lpwstr>
  </property>
  <property fmtid="{D5CDD505-2E9C-101B-9397-08002B2CF9AE}" pid="7" name="DmsDocPrepDocSendRegReal">
    <vt:bool>false</vt:bool>
  </property>
</Properties>
</file>