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5004" w14:textId="77777777" w:rsidR="00AF02EF" w:rsidRPr="00313B59" w:rsidRDefault="00AF02EF" w:rsidP="00AF02EF">
      <w:pPr>
        <w:jc w:val="both"/>
        <w:rPr>
          <w:color w:val="000000"/>
          <w:sz w:val="27"/>
          <w:szCs w:val="27"/>
        </w:rPr>
      </w:pPr>
    </w:p>
    <w:p w14:paraId="6C1169D0" w14:textId="77777777" w:rsidR="00AF02EF" w:rsidRPr="00313B59" w:rsidRDefault="00AF02EF" w:rsidP="00AF02EF">
      <w:pPr>
        <w:tabs>
          <w:tab w:val="left" w:pos="5245"/>
        </w:tabs>
        <w:ind w:left="9072"/>
      </w:pPr>
      <w:r w:rsidRPr="00313B59">
        <w:t xml:space="preserve">Annex 3 </w:t>
      </w:r>
    </w:p>
    <w:p w14:paraId="731551E3" w14:textId="77777777" w:rsidR="00AF02EF" w:rsidRPr="00313B59" w:rsidRDefault="00AF02EF" w:rsidP="00AF02EF">
      <w:pPr>
        <w:tabs>
          <w:tab w:val="left" w:pos="5245"/>
        </w:tabs>
        <w:ind w:left="9072"/>
      </w:pPr>
      <w:r w:rsidRPr="00313B59">
        <w:t xml:space="preserve">to the Norwegian Financial Mechanism 2014-2021 </w:t>
      </w:r>
    </w:p>
    <w:p w14:paraId="13F35F17" w14:textId="77777777" w:rsidR="00AF02EF" w:rsidRPr="00313B59" w:rsidRDefault="00AF02EF" w:rsidP="00AF02EF">
      <w:pPr>
        <w:tabs>
          <w:tab w:val="left" w:pos="5245"/>
        </w:tabs>
        <w:ind w:left="9072"/>
      </w:pPr>
      <w:proofErr w:type="spellStart"/>
      <w:r w:rsidRPr="00313B59">
        <w:t>Programme</w:t>
      </w:r>
      <w:proofErr w:type="spellEnd"/>
      <w:r w:rsidRPr="00313B59">
        <w:t xml:space="preserve"> “Business Development, Innovation and SMEs” Call for Proposals under Green Industry Innovation, Including </w:t>
      </w:r>
      <w:proofErr w:type="gramStart"/>
      <w:r w:rsidRPr="00313B59">
        <w:t>Bio-Economy</w:t>
      </w:r>
      <w:proofErr w:type="gramEnd"/>
      <w:r w:rsidRPr="00313B59">
        <w:t>, Focus Area</w:t>
      </w:r>
    </w:p>
    <w:p w14:paraId="7A939EF0" w14:textId="77777777" w:rsidR="00AF02EF" w:rsidRPr="00313B59" w:rsidRDefault="00AF02EF" w:rsidP="00AF02EF">
      <w:pPr>
        <w:tabs>
          <w:tab w:val="left" w:pos="5245"/>
        </w:tabs>
        <w:ind w:left="9639"/>
        <w:rPr>
          <w:bCs/>
        </w:rPr>
      </w:pPr>
    </w:p>
    <w:p w14:paraId="0C455620" w14:textId="77777777" w:rsidR="00AF02EF" w:rsidRPr="00313B59" w:rsidRDefault="00AF02EF" w:rsidP="00AF02EF">
      <w:pPr>
        <w:jc w:val="center"/>
        <w:rPr>
          <w:b/>
          <w:bCs/>
          <w:color w:val="000000"/>
        </w:rPr>
      </w:pPr>
      <w:r w:rsidRPr="00313B59">
        <w:rPr>
          <w:b/>
        </w:rPr>
        <w:t>ADMINISTRATIVE CRITERIA EVALUATION</w:t>
      </w:r>
    </w:p>
    <w:p w14:paraId="5B05C3B1" w14:textId="77777777" w:rsidR="00AF02EF" w:rsidRPr="00313B59" w:rsidRDefault="00AF02EF" w:rsidP="00AF02EF">
      <w:pPr>
        <w:jc w:val="center"/>
        <w:rPr>
          <w:b/>
          <w:bCs/>
          <w:color w:val="000000"/>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079"/>
        <w:gridCol w:w="2079"/>
        <w:gridCol w:w="2079"/>
        <w:gridCol w:w="3969"/>
      </w:tblGrid>
      <w:tr w:rsidR="00AF02EF" w:rsidRPr="00313B59" w14:paraId="0A8C9EAB" w14:textId="77777777" w:rsidTr="0061075E">
        <w:trPr>
          <w:tblHeader/>
        </w:trPr>
        <w:tc>
          <w:tcPr>
            <w:tcW w:w="14742" w:type="dxa"/>
            <w:gridSpan w:val="5"/>
            <w:shd w:val="clear" w:color="auto" w:fill="auto"/>
            <w:vAlign w:val="center"/>
          </w:tcPr>
          <w:p w14:paraId="073154BE" w14:textId="77777777" w:rsidR="00AF02EF" w:rsidRPr="00313B59" w:rsidRDefault="00AF02EF" w:rsidP="0061075E">
            <w:pPr>
              <w:jc w:val="center"/>
              <w:rPr>
                <w:b/>
              </w:rPr>
            </w:pPr>
            <w:r w:rsidRPr="00313B59">
              <w:rPr>
                <w:b/>
              </w:rPr>
              <w:t>Administrative criteria</w:t>
            </w:r>
          </w:p>
        </w:tc>
      </w:tr>
      <w:tr w:rsidR="00AF02EF" w:rsidRPr="00313B59" w14:paraId="482D9FFC" w14:textId="77777777" w:rsidTr="0061075E">
        <w:trPr>
          <w:tblHeader/>
        </w:trPr>
        <w:tc>
          <w:tcPr>
            <w:tcW w:w="4536" w:type="dxa"/>
            <w:shd w:val="clear" w:color="auto" w:fill="C6D9F1"/>
            <w:vAlign w:val="center"/>
          </w:tcPr>
          <w:p w14:paraId="4FAFCEF3" w14:textId="77777777" w:rsidR="00AF02EF" w:rsidRPr="00313B59" w:rsidRDefault="00AF02EF" w:rsidP="0061075E">
            <w:pPr>
              <w:jc w:val="center"/>
              <w:rPr>
                <w:b/>
              </w:rPr>
            </w:pPr>
            <w:r w:rsidRPr="00313B59">
              <w:rPr>
                <w:b/>
              </w:rPr>
              <w:t>CRITERION</w:t>
            </w:r>
          </w:p>
        </w:tc>
        <w:tc>
          <w:tcPr>
            <w:tcW w:w="2079" w:type="dxa"/>
            <w:shd w:val="clear" w:color="auto" w:fill="C6D9F1"/>
            <w:vAlign w:val="center"/>
          </w:tcPr>
          <w:p w14:paraId="26A32F66" w14:textId="77777777" w:rsidR="00AF02EF" w:rsidRPr="00313B59" w:rsidRDefault="00AF02EF" w:rsidP="0061075E">
            <w:pPr>
              <w:jc w:val="center"/>
              <w:rPr>
                <w:b/>
              </w:rPr>
            </w:pPr>
            <w:r w:rsidRPr="00313B59">
              <w:rPr>
                <w:b/>
              </w:rPr>
              <w:t>YES</w:t>
            </w:r>
          </w:p>
        </w:tc>
        <w:tc>
          <w:tcPr>
            <w:tcW w:w="2079" w:type="dxa"/>
            <w:shd w:val="clear" w:color="auto" w:fill="C6D9F1"/>
            <w:vAlign w:val="center"/>
          </w:tcPr>
          <w:p w14:paraId="5D5E1DD7" w14:textId="77777777" w:rsidR="00AF02EF" w:rsidRPr="00313B59" w:rsidRDefault="00AF02EF" w:rsidP="0061075E">
            <w:pPr>
              <w:jc w:val="center"/>
              <w:rPr>
                <w:b/>
              </w:rPr>
            </w:pPr>
            <w:r w:rsidRPr="00313B59">
              <w:rPr>
                <w:b/>
              </w:rPr>
              <w:t>NO</w:t>
            </w:r>
          </w:p>
        </w:tc>
        <w:tc>
          <w:tcPr>
            <w:tcW w:w="2079" w:type="dxa"/>
            <w:shd w:val="clear" w:color="auto" w:fill="C6D9F1"/>
          </w:tcPr>
          <w:p w14:paraId="7EABAD60" w14:textId="77777777" w:rsidR="00AF02EF" w:rsidRPr="00313B59" w:rsidRDefault="00AF02EF" w:rsidP="0061075E">
            <w:pPr>
              <w:jc w:val="center"/>
              <w:rPr>
                <w:b/>
              </w:rPr>
            </w:pPr>
            <w:r w:rsidRPr="00313B59">
              <w:rPr>
                <w:b/>
              </w:rPr>
              <w:t>NOT APPLICABLE</w:t>
            </w:r>
          </w:p>
        </w:tc>
        <w:tc>
          <w:tcPr>
            <w:tcW w:w="3969" w:type="dxa"/>
            <w:shd w:val="clear" w:color="auto" w:fill="C6D9F1"/>
          </w:tcPr>
          <w:p w14:paraId="1B2727C6" w14:textId="77777777" w:rsidR="00AF02EF" w:rsidRPr="00313B59" w:rsidRDefault="00AF02EF" w:rsidP="0061075E">
            <w:pPr>
              <w:jc w:val="center"/>
              <w:rPr>
                <w:b/>
              </w:rPr>
            </w:pPr>
            <w:r w:rsidRPr="00313B59">
              <w:rPr>
                <w:b/>
              </w:rPr>
              <w:t>COMMENTS</w:t>
            </w:r>
          </w:p>
        </w:tc>
      </w:tr>
      <w:tr w:rsidR="00AF02EF" w:rsidRPr="00313B59" w14:paraId="781D18C1" w14:textId="77777777" w:rsidTr="0061075E">
        <w:trPr>
          <w:trHeight w:val="383"/>
        </w:trPr>
        <w:tc>
          <w:tcPr>
            <w:tcW w:w="4536" w:type="dxa"/>
            <w:vMerge w:val="restart"/>
            <w:tcBorders>
              <w:bottom w:val="nil"/>
            </w:tcBorders>
            <w:shd w:val="clear" w:color="auto" w:fill="auto"/>
          </w:tcPr>
          <w:p w14:paraId="195F6436" w14:textId="46453071" w:rsidR="00AF02EF" w:rsidRPr="00313B59" w:rsidRDefault="0080353F" w:rsidP="0080353F">
            <w:pPr>
              <w:pStyle w:val="ListParagraph"/>
              <w:numPr>
                <w:ilvl w:val="0"/>
                <w:numId w:val="1"/>
              </w:numPr>
              <w:tabs>
                <w:tab w:val="left" w:pos="321"/>
              </w:tabs>
              <w:autoSpaceDE w:val="0"/>
              <w:autoSpaceDN w:val="0"/>
              <w:adjustRightInd w:val="0"/>
              <w:ind w:left="38" w:hanging="11"/>
              <w:jc w:val="both"/>
            </w:pPr>
            <w:r>
              <w:t>An</w:t>
            </w:r>
            <w:r w:rsidR="00AF02EF" w:rsidRPr="00313B59">
              <w:t xml:space="preserve"> applicant </w:t>
            </w:r>
            <w:r w:rsidR="005C7D5B">
              <w:t xml:space="preserve">and partner (-s), who are the legal persons, are </w:t>
            </w:r>
            <w:r w:rsidR="00AF02EF" w:rsidRPr="00313B59">
              <w:t>not the subject of proceedings for  declaration of bankruptcy</w:t>
            </w:r>
            <w:r w:rsidR="005C7D5B">
              <w:t xml:space="preserve"> or restructuring</w:t>
            </w:r>
            <w:r w:rsidR="00AF02EF" w:rsidRPr="00313B59">
              <w:t xml:space="preserve">, </w:t>
            </w:r>
            <w:r w:rsidR="00EE0D24">
              <w:t>a pre-trial</w:t>
            </w:r>
            <w:r w:rsidR="005C7D5B">
              <w:t xml:space="preserve"> investigation </w:t>
            </w:r>
            <w:r w:rsidR="00EE0D24">
              <w:t>of</w:t>
            </w:r>
            <w:r w:rsidR="005C7D5B">
              <w:t xml:space="preserve"> </w:t>
            </w:r>
            <w:r w:rsidR="00B0486A">
              <w:t>economic activities has not been initiated, they are not</w:t>
            </w:r>
            <w:r w:rsidR="00AF02EF" w:rsidRPr="00313B59">
              <w:t xml:space="preserve"> </w:t>
            </w:r>
            <w:r>
              <w:t>being wound up, creditors have not come to a decision to initiate bankruptcy proceedings out of court</w:t>
            </w:r>
            <w:r w:rsidR="00EE0D24">
              <w:t xml:space="preserve">; an applicant and partner (-s) who is a natural person, is not a subject to proceeding for declaration of bankruptcy and </w:t>
            </w:r>
            <w:proofErr w:type="spellStart"/>
            <w:r w:rsidR="00EE0D24">
              <w:t>a</w:t>
            </w:r>
            <w:proofErr w:type="spellEnd"/>
            <w:r w:rsidR="00EE0D24">
              <w:t xml:space="preserve"> pre-trial investigation of economic activities has not been initiated. </w:t>
            </w:r>
          </w:p>
        </w:tc>
        <w:tc>
          <w:tcPr>
            <w:tcW w:w="2079" w:type="dxa"/>
            <w:shd w:val="clear" w:color="auto" w:fill="auto"/>
          </w:tcPr>
          <w:p w14:paraId="7B94210A" w14:textId="77777777" w:rsidR="00AF02EF" w:rsidRPr="00313B59" w:rsidRDefault="00AF02EF" w:rsidP="0061075E">
            <w:pPr>
              <w:jc w:val="both"/>
            </w:pPr>
          </w:p>
        </w:tc>
        <w:tc>
          <w:tcPr>
            <w:tcW w:w="2079" w:type="dxa"/>
            <w:shd w:val="clear" w:color="auto" w:fill="auto"/>
          </w:tcPr>
          <w:p w14:paraId="7CC46A06" w14:textId="77777777" w:rsidR="00AF02EF" w:rsidRPr="00313B59" w:rsidRDefault="00AF02EF" w:rsidP="0061075E">
            <w:pPr>
              <w:jc w:val="both"/>
            </w:pPr>
          </w:p>
        </w:tc>
        <w:tc>
          <w:tcPr>
            <w:tcW w:w="2079" w:type="dxa"/>
            <w:tcBorders>
              <w:bottom w:val="nil"/>
            </w:tcBorders>
            <w:shd w:val="clear" w:color="auto" w:fill="auto"/>
          </w:tcPr>
          <w:p w14:paraId="16246FE1" w14:textId="77777777" w:rsidR="00AF02EF" w:rsidRPr="00313B59" w:rsidRDefault="00AF02EF" w:rsidP="0061075E"/>
        </w:tc>
        <w:tc>
          <w:tcPr>
            <w:tcW w:w="3969" w:type="dxa"/>
            <w:tcBorders>
              <w:bottom w:val="nil"/>
            </w:tcBorders>
            <w:shd w:val="clear" w:color="auto" w:fill="auto"/>
          </w:tcPr>
          <w:p w14:paraId="0EE4BC6B" w14:textId="77777777" w:rsidR="00AF02EF" w:rsidRPr="00313B59" w:rsidRDefault="00AF02EF" w:rsidP="0061075E"/>
        </w:tc>
      </w:tr>
      <w:tr w:rsidR="00AF02EF" w:rsidRPr="00313B59" w14:paraId="110F6223" w14:textId="77777777" w:rsidTr="0061075E">
        <w:trPr>
          <w:trHeight w:val="382"/>
        </w:trPr>
        <w:tc>
          <w:tcPr>
            <w:tcW w:w="4536" w:type="dxa"/>
            <w:vMerge/>
            <w:tcBorders>
              <w:top w:val="nil"/>
            </w:tcBorders>
            <w:shd w:val="clear" w:color="auto" w:fill="auto"/>
          </w:tcPr>
          <w:p w14:paraId="0F4B93AF" w14:textId="77777777" w:rsidR="00AF02EF" w:rsidRPr="00313B59" w:rsidRDefault="00AF02EF" w:rsidP="0061075E">
            <w:pPr>
              <w:jc w:val="both"/>
            </w:pPr>
          </w:p>
        </w:tc>
        <w:tc>
          <w:tcPr>
            <w:tcW w:w="2079" w:type="dxa"/>
            <w:shd w:val="clear" w:color="auto" w:fill="auto"/>
          </w:tcPr>
          <w:p w14:paraId="616D65E2" w14:textId="77777777" w:rsidR="00AF02EF" w:rsidRPr="00EE0D24" w:rsidRDefault="00AF02EF" w:rsidP="0061075E">
            <w:pPr>
              <w:jc w:val="both"/>
            </w:pPr>
          </w:p>
        </w:tc>
        <w:tc>
          <w:tcPr>
            <w:tcW w:w="2079" w:type="dxa"/>
            <w:shd w:val="clear" w:color="auto" w:fill="auto"/>
          </w:tcPr>
          <w:p w14:paraId="3CEA699E" w14:textId="77777777" w:rsidR="00AF02EF" w:rsidRPr="00313B59" w:rsidRDefault="00AF02EF" w:rsidP="0061075E">
            <w:pPr>
              <w:jc w:val="both"/>
            </w:pPr>
          </w:p>
        </w:tc>
        <w:tc>
          <w:tcPr>
            <w:tcW w:w="2079" w:type="dxa"/>
            <w:tcBorders>
              <w:top w:val="nil"/>
            </w:tcBorders>
            <w:shd w:val="clear" w:color="auto" w:fill="auto"/>
          </w:tcPr>
          <w:p w14:paraId="07E29610" w14:textId="77777777" w:rsidR="00AF02EF" w:rsidRPr="00313B59" w:rsidRDefault="00AF02EF" w:rsidP="0061075E"/>
        </w:tc>
        <w:tc>
          <w:tcPr>
            <w:tcW w:w="3969" w:type="dxa"/>
            <w:tcBorders>
              <w:top w:val="nil"/>
            </w:tcBorders>
            <w:shd w:val="clear" w:color="auto" w:fill="auto"/>
          </w:tcPr>
          <w:p w14:paraId="1AA3981D" w14:textId="77777777" w:rsidR="00AF02EF" w:rsidRPr="00313B59" w:rsidRDefault="00AF02EF" w:rsidP="0061075E"/>
        </w:tc>
      </w:tr>
      <w:tr w:rsidR="00AF02EF" w:rsidRPr="00313B59" w14:paraId="1A478E49" w14:textId="77777777" w:rsidTr="0061075E">
        <w:trPr>
          <w:trHeight w:val="506"/>
        </w:trPr>
        <w:tc>
          <w:tcPr>
            <w:tcW w:w="4536" w:type="dxa"/>
            <w:shd w:val="clear" w:color="auto" w:fill="auto"/>
          </w:tcPr>
          <w:p w14:paraId="163484C7" w14:textId="00212C21" w:rsidR="00AF02EF" w:rsidRPr="00313B59" w:rsidRDefault="008B71B9" w:rsidP="00AF02EF">
            <w:pPr>
              <w:pStyle w:val="ListParagraph"/>
              <w:numPr>
                <w:ilvl w:val="0"/>
                <w:numId w:val="1"/>
              </w:numPr>
              <w:tabs>
                <w:tab w:val="left" w:pos="463"/>
                <w:tab w:val="left" w:pos="605"/>
              </w:tabs>
              <w:autoSpaceDE w:val="0"/>
              <w:autoSpaceDN w:val="0"/>
              <w:adjustRightInd w:val="0"/>
              <w:ind w:left="0" w:firstLine="0"/>
              <w:jc w:val="both"/>
            </w:pPr>
            <w:r>
              <w:t xml:space="preserve">Upon submission of an application, an applicant and (or) a partner (-s) are not declared by a final judgement of the Court or a final administrative decision as the ones failing to complying with their obligations related to taxes and social security, in line with the law of the Republic of Lithuania or if an applicant (partner) is a legal person established abroad, in line with the law of the </w:t>
            </w:r>
            <w:r>
              <w:lastRenderedPageBreak/>
              <w:t xml:space="preserve">respective country. </w:t>
            </w:r>
            <w:r w:rsidR="003305CC">
              <w:t>(T</w:t>
            </w:r>
            <w:r>
              <w:t xml:space="preserve">his provision is not applicable </w:t>
            </w:r>
            <w:r w:rsidR="00F12099">
              <w:t>to</w:t>
            </w:r>
            <w:r>
              <w:t xml:space="preserve"> institutions, whose a</w:t>
            </w:r>
            <w:r w:rsidR="00832E6D">
              <w:t xml:space="preserve">ctivities are financed from the budget of the Republic of Lithuania and (or) </w:t>
            </w:r>
            <w:r w:rsidR="00F12099">
              <w:t xml:space="preserve">budgets of </w:t>
            </w:r>
            <w:r w:rsidR="00832E6D">
              <w:t xml:space="preserve">municipalities, </w:t>
            </w:r>
            <w:r w:rsidR="003305CC">
              <w:t>and (</w:t>
            </w:r>
            <w:r w:rsidR="00832E6D">
              <w:t>or</w:t>
            </w:r>
            <w:r w:rsidR="003305CC">
              <w:t xml:space="preserve">) </w:t>
            </w:r>
            <w:r w:rsidR="00832E6D">
              <w:t xml:space="preserve">state monetary funds, as well as for legal persons, for whom, in accordance with </w:t>
            </w:r>
            <w:r w:rsidR="00F12099">
              <w:t xml:space="preserve">the </w:t>
            </w:r>
            <w:r w:rsidR="00832E6D">
              <w:t xml:space="preserve">legislation of the Republic of Lithuania, payment deadlines for taxes and social security have been deterred. </w:t>
            </w:r>
          </w:p>
        </w:tc>
        <w:tc>
          <w:tcPr>
            <w:tcW w:w="2079" w:type="dxa"/>
            <w:shd w:val="clear" w:color="auto" w:fill="auto"/>
          </w:tcPr>
          <w:p w14:paraId="77D67246" w14:textId="77777777" w:rsidR="00AF02EF" w:rsidRPr="00313B59" w:rsidRDefault="00AF02EF" w:rsidP="0061075E">
            <w:pPr>
              <w:jc w:val="both"/>
            </w:pPr>
          </w:p>
        </w:tc>
        <w:tc>
          <w:tcPr>
            <w:tcW w:w="2079" w:type="dxa"/>
            <w:shd w:val="clear" w:color="auto" w:fill="auto"/>
          </w:tcPr>
          <w:p w14:paraId="78EAD92B" w14:textId="77777777" w:rsidR="00AF02EF" w:rsidRPr="00313B59" w:rsidRDefault="00AF02EF" w:rsidP="0061075E">
            <w:pPr>
              <w:jc w:val="both"/>
            </w:pPr>
          </w:p>
        </w:tc>
        <w:tc>
          <w:tcPr>
            <w:tcW w:w="2079" w:type="dxa"/>
          </w:tcPr>
          <w:p w14:paraId="649A3CA2" w14:textId="77777777" w:rsidR="00AF02EF" w:rsidRPr="00313B59" w:rsidRDefault="00AF02EF" w:rsidP="0061075E"/>
        </w:tc>
        <w:tc>
          <w:tcPr>
            <w:tcW w:w="3969" w:type="dxa"/>
          </w:tcPr>
          <w:p w14:paraId="0C14EFFE" w14:textId="77777777" w:rsidR="00AF02EF" w:rsidRPr="00313B59" w:rsidRDefault="00AF02EF" w:rsidP="0061075E"/>
        </w:tc>
      </w:tr>
      <w:tr w:rsidR="00AF02EF" w:rsidRPr="00313B59" w14:paraId="64E3EF8A" w14:textId="77777777" w:rsidTr="0061075E">
        <w:trPr>
          <w:trHeight w:val="506"/>
        </w:trPr>
        <w:tc>
          <w:tcPr>
            <w:tcW w:w="4536" w:type="dxa"/>
            <w:shd w:val="clear" w:color="auto" w:fill="auto"/>
          </w:tcPr>
          <w:p w14:paraId="462A4409" w14:textId="6C6D6B08" w:rsidR="00AF02EF" w:rsidRPr="004F354B" w:rsidRDefault="00502472" w:rsidP="004F354B">
            <w:pPr>
              <w:pStyle w:val="ListParagraph"/>
              <w:numPr>
                <w:ilvl w:val="0"/>
                <w:numId w:val="1"/>
              </w:numPr>
              <w:tabs>
                <w:tab w:val="left" w:pos="463"/>
                <w:tab w:val="left" w:pos="605"/>
              </w:tabs>
              <w:autoSpaceDE w:val="0"/>
              <w:autoSpaceDN w:val="0"/>
              <w:adjustRightInd w:val="0"/>
              <w:ind w:left="0" w:firstLine="0"/>
              <w:jc w:val="both"/>
            </w:pPr>
            <w:r>
              <w:t xml:space="preserve">The </w:t>
            </w:r>
            <w:r w:rsidRPr="004F354B">
              <w:t>director of an applicant and partner (-s), the main shareholder (having more than 50% shares) or an owner</w:t>
            </w:r>
            <w:r w:rsidR="004F354B" w:rsidRPr="004F354B">
              <w:t xml:space="preserve">, a full member (-s) of a partnership or a representative of a small partnership, </w:t>
            </w:r>
            <w:r w:rsidRPr="004F354B">
              <w:t xml:space="preserve">who has the right to sign an agreement on the behalf of a legal person, or an accountant </w:t>
            </w:r>
            <w:r w:rsidR="00AF02EF" w:rsidRPr="004F354B">
              <w:t>or any other person, legally entitled to sign applicant</w:t>
            </w:r>
            <w:r w:rsidRPr="004F354B">
              <w:t>’</w:t>
            </w:r>
            <w:r w:rsidR="00AF02EF" w:rsidRPr="004F354B">
              <w:t>s accounting documents, does not have unspent or non-expunged conviction</w:t>
            </w:r>
            <w:r w:rsidRPr="004F354B">
              <w:t xml:space="preserve"> or </w:t>
            </w:r>
            <w:r w:rsidR="00C014B3" w:rsidRPr="004F354B">
              <w:t>an applicant (partner)</w:t>
            </w:r>
            <w:r w:rsidR="00C25B17">
              <w:t>,</w:t>
            </w:r>
            <w:r w:rsidR="00C014B3" w:rsidRPr="004F354B">
              <w:t xml:space="preserve"> </w:t>
            </w:r>
            <w:r w:rsidR="004F354B" w:rsidRPr="004F354B">
              <w:t>i</w:t>
            </w:r>
            <w:r w:rsidR="004F354B" w:rsidRPr="004F354B">
              <w:t>n last 5 years has not had a criminal conviction  for</w:t>
            </w:r>
            <w:r w:rsidR="004F354B" w:rsidRPr="004F354B">
              <w:t xml:space="preserve"> </w:t>
            </w:r>
            <w:r w:rsidR="00C859E2" w:rsidRPr="004F354B">
              <w:t>participation in a  structured group/</w:t>
            </w:r>
            <w:r w:rsidR="00C25B17">
              <w:t xml:space="preserve"> </w:t>
            </w:r>
            <w:r w:rsidR="00C859E2" w:rsidRPr="004F354B">
              <w:t xml:space="preserve">association, its formation and leadership, bribery, </w:t>
            </w:r>
            <w:r w:rsidR="00C25B17">
              <w:t xml:space="preserve">trading in influence, </w:t>
            </w:r>
            <w:r w:rsidR="00C859E2" w:rsidRPr="004F354B">
              <w:t>corruption, abus</w:t>
            </w:r>
            <w:r w:rsidR="00C25B17">
              <w:t>e</w:t>
            </w:r>
            <w:r w:rsidR="00C859E2" w:rsidRPr="004F354B">
              <w:t xml:space="preserve">, neglection of duties, fraud, unlawful appropriation, asset stripping, incurring financial harm fraudulently, damage or destruction of property, </w:t>
            </w:r>
            <w:r w:rsidR="00502389">
              <w:t>unjust enrichment, smuggling, customs fraud,</w:t>
            </w:r>
            <w:r w:rsidR="00EF2022">
              <w:t xml:space="preserve"> illegal possession of the excise goods, </w:t>
            </w:r>
            <w:r w:rsidR="00502389">
              <w:t xml:space="preserve"> illegal </w:t>
            </w:r>
            <w:r w:rsidR="00EF2022">
              <w:t>non-</w:t>
            </w:r>
            <w:r w:rsidR="00502389">
              <w:t xml:space="preserve">transportation of goods from the Republic of Lithuania, engagement into </w:t>
            </w:r>
            <w:r w:rsidR="00502389">
              <w:lastRenderedPageBreak/>
              <w:t xml:space="preserve">illegal economic/ commercial/ financial or professional activities, illegal activities of </w:t>
            </w:r>
            <w:r w:rsidR="00EF2022">
              <w:t xml:space="preserve">a </w:t>
            </w:r>
            <w:r w:rsidR="00502389">
              <w:t>legal person, illegal use of trademarks, false statement regarding activities of a legal person, evasion of taxes, use of a credit /loan/grant for improper purpose</w:t>
            </w:r>
            <w:r w:rsidR="00EF7432">
              <w:t xml:space="preserve"> or not in line with the </w:t>
            </w:r>
            <w:proofErr w:type="spellStart"/>
            <w:r w:rsidR="00EF7432">
              <w:t>order</w:t>
            </w:r>
            <w:proofErr w:type="spellEnd"/>
            <w:r w:rsidR="00502389">
              <w:t xml:space="preserve">, credit fraud, debtor’s unfairness, fraudulent bankruptcy, </w:t>
            </w:r>
            <w:r w:rsidR="00EF7432">
              <w:t xml:space="preserve">production </w:t>
            </w:r>
            <w:r w:rsidR="00502389">
              <w:t xml:space="preserve">of </w:t>
            </w:r>
            <w:r w:rsidR="00EF7432">
              <w:t>fictitious</w:t>
            </w:r>
            <w:r w:rsidR="00502389">
              <w:t xml:space="preserve"> e-payment tools, counterfeiting of existing e-payment tools, illegal possession of e-payment tools</w:t>
            </w:r>
            <w:r w:rsidR="003069A0">
              <w:t xml:space="preserve"> or data obtained from them, illegal use of e-payment tools or data obtained from them, </w:t>
            </w:r>
            <w:r w:rsidR="005905D0">
              <w:t>submission of incorrect information about income/profit/ assets</w:t>
            </w:r>
            <w:r w:rsidR="006C31B7">
              <w:t xml:space="preserve">, </w:t>
            </w:r>
            <w:r w:rsidR="00EF7432">
              <w:t>failure to submit</w:t>
            </w:r>
            <w:r w:rsidR="006C31B7">
              <w:t xml:space="preserve"> </w:t>
            </w:r>
            <w:r w:rsidR="00EF7432">
              <w:t xml:space="preserve">a </w:t>
            </w:r>
            <w:r w:rsidR="006C31B7">
              <w:t xml:space="preserve">declaration/report/any other document, fraudulent or negligent accounting, criminal acquisition of assets, legalization of criminal money or assets, </w:t>
            </w:r>
            <w:r w:rsidR="00EF7432">
              <w:t xml:space="preserve">production/possession or realization of counterfeit money or bonds, </w:t>
            </w:r>
            <w:r w:rsidR="006C31B7">
              <w:t>falsification</w:t>
            </w:r>
            <w:r w:rsidR="00EF7432">
              <w:t xml:space="preserve"> or </w:t>
            </w:r>
            <w:r w:rsidR="006C31B7">
              <w:t>possession of a document</w:t>
            </w:r>
            <w:r w:rsidR="00EF7432">
              <w:t>/ stamp/ seal/</w:t>
            </w:r>
            <w:r w:rsidR="00396DF1">
              <w:t xml:space="preserve"> </w:t>
            </w:r>
            <w:r w:rsidR="00EF7432">
              <w:t>form,</w:t>
            </w:r>
            <w:r w:rsidR="006C31B7">
              <w:t xml:space="preserve"> or participation in any other illegal activities which are harmful to financial interest of the Republic of Lithuania and (or) the European Union. </w:t>
            </w:r>
            <w:r w:rsidR="001D45AF">
              <w:t>(</w:t>
            </w:r>
            <w:r w:rsidR="006C31B7">
              <w:t xml:space="preserve">This provision is not applicable if applicant’s activities are funded from the budget of the Republic of Lithuania or </w:t>
            </w:r>
            <w:r w:rsidR="001D45AF">
              <w:t xml:space="preserve">a budget of a </w:t>
            </w:r>
            <w:r w:rsidR="006C31B7">
              <w:t>foreign country and (or) budgets of municipalities and (or) state monetary funds.</w:t>
            </w:r>
            <w:r w:rsidR="001D45AF">
              <w:t>)</w:t>
            </w:r>
          </w:p>
        </w:tc>
        <w:tc>
          <w:tcPr>
            <w:tcW w:w="2079" w:type="dxa"/>
            <w:shd w:val="clear" w:color="auto" w:fill="auto"/>
          </w:tcPr>
          <w:p w14:paraId="5E80EBFA" w14:textId="77777777" w:rsidR="00AF02EF" w:rsidRPr="00313B59" w:rsidRDefault="00AF02EF" w:rsidP="000352DE">
            <w:pPr>
              <w:pStyle w:val="ListParagraph"/>
              <w:tabs>
                <w:tab w:val="left" w:pos="463"/>
                <w:tab w:val="left" w:pos="605"/>
              </w:tabs>
              <w:autoSpaceDE w:val="0"/>
              <w:autoSpaceDN w:val="0"/>
              <w:adjustRightInd w:val="0"/>
              <w:ind w:left="0"/>
              <w:jc w:val="both"/>
            </w:pPr>
          </w:p>
        </w:tc>
        <w:tc>
          <w:tcPr>
            <w:tcW w:w="2079" w:type="dxa"/>
            <w:shd w:val="clear" w:color="auto" w:fill="auto"/>
          </w:tcPr>
          <w:p w14:paraId="12E9C671" w14:textId="77777777" w:rsidR="00AF02EF" w:rsidRPr="00313B59" w:rsidRDefault="00AF02EF" w:rsidP="000352DE">
            <w:pPr>
              <w:pStyle w:val="ListParagraph"/>
              <w:tabs>
                <w:tab w:val="left" w:pos="463"/>
                <w:tab w:val="left" w:pos="605"/>
              </w:tabs>
              <w:autoSpaceDE w:val="0"/>
              <w:autoSpaceDN w:val="0"/>
              <w:adjustRightInd w:val="0"/>
              <w:ind w:left="0"/>
              <w:jc w:val="both"/>
            </w:pPr>
          </w:p>
        </w:tc>
        <w:tc>
          <w:tcPr>
            <w:tcW w:w="2079" w:type="dxa"/>
          </w:tcPr>
          <w:p w14:paraId="2D6E90C1" w14:textId="77777777" w:rsidR="00AF02EF" w:rsidRPr="00313B59" w:rsidRDefault="00AF02EF" w:rsidP="000352DE">
            <w:pPr>
              <w:pStyle w:val="ListParagraph"/>
              <w:tabs>
                <w:tab w:val="left" w:pos="463"/>
                <w:tab w:val="left" w:pos="605"/>
              </w:tabs>
              <w:autoSpaceDE w:val="0"/>
              <w:autoSpaceDN w:val="0"/>
              <w:adjustRightInd w:val="0"/>
              <w:ind w:left="0"/>
              <w:jc w:val="both"/>
            </w:pPr>
          </w:p>
        </w:tc>
        <w:tc>
          <w:tcPr>
            <w:tcW w:w="3969" w:type="dxa"/>
          </w:tcPr>
          <w:p w14:paraId="05B3FC55" w14:textId="77777777" w:rsidR="00AF02EF" w:rsidRPr="00313B59" w:rsidRDefault="00AF02EF" w:rsidP="000352DE">
            <w:pPr>
              <w:pStyle w:val="ListParagraph"/>
              <w:tabs>
                <w:tab w:val="left" w:pos="463"/>
                <w:tab w:val="left" w:pos="605"/>
              </w:tabs>
              <w:autoSpaceDE w:val="0"/>
              <w:autoSpaceDN w:val="0"/>
              <w:adjustRightInd w:val="0"/>
              <w:ind w:left="0"/>
              <w:jc w:val="both"/>
            </w:pPr>
          </w:p>
        </w:tc>
      </w:tr>
      <w:tr w:rsidR="00AF02EF" w:rsidRPr="00313B59" w14:paraId="2B8B42B9" w14:textId="77777777" w:rsidTr="0061075E">
        <w:trPr>
          <w:trHeight w:val="506"/>
        </w:trPr>
        <w:tc>
          <w:tcPr>
            <w:tcW w:w="4536" w:type="dxa"/>
            <w:shd w:val="clear" w:color="auto" w:fill="auto"/>
          </w:tcPr>
          <w:p w14:paraId="176976D9" w14:textId="41B5B6C4" w:rsidR="00AF02EF" w:rsidRPr="00313B59" w:rsidRDefault="00AF02EF" w:rsidP="00AF02EF">
            <w:pPr>
              <w:pStyle w:val="ListParagraph"/>
              <w:numPr>
                <w:ilvl w:val="0"/>
                <w:numId w:val="1"/>
              </w:numPr>
              <w:tabs>
                <w:tab w:val="left" w:pos="463"/>
                <w:tab w:val="left" w:pos="605"/>
              </w:tabs>
              <w:autoSpaceDE w:val="0"/>
              <w:autoSpaceDN w:val="0"/>
              <w:adjustRightInd w:val="0"/>
              <w:ind w:left="0" w:firstLine="0"/>
              <w:jc w:val="both"/>
            </w:pPr>
            <w:r w:rsidRPr="00313B59">
              <w:lastRenderedPageBreak/>
              <w:t xml:space="preserve">During evaluation of an application an Applicant or a partner are not a subject to restrictions to receive funding due their failure to return the funds or because </w:t>
            </w:r>
            <w:proofErr w:type="gramStart"/>
            <w:r w:rsidRPr="00313B59">
              <w:t>only  a</w:t>
            </w:r>
            <w:proofErr w:type="gramEnd"/>
            <w:r w:rsidRPr="00313B59">
              <w:t xml:space="preserve"> part of funds was returned by the deadline indicated  in the decision to return funds.</w:t>
            </w:r>
            <w:r w:rsidR="00A76A66">
              <w:t xml:space="preserve"> (This provision is not </w:t>
            </w:r>
            <w:proofErr w:type="gramStart"/>
            <w:r w:rsidR="00A76A66">
              <w:t>applicable  for</w:t>
            </w:r>
            <w:proofErr w:type="gramEnd"/>
            <w:r w:rsidR="00A76A66">
              <w:t xml:space="preserve"> institutions whose activities are funded from the budget of the Republic of Lithuania, other country and (or) budgets of municipalities, and (or) state monetary funds.)</w:t>
            </w:r>
          </w:p>
        </w:tc>
        <w:tc>
          <w:tcPr>
            <w:tcW w:w="2079" w:type="dxa"/>
            <w:shd w:val="clear" w:color="auto" w:fill="auto"/>
          </w:tcPr>
          <w:p w14:paraId="44012405" w14:textId="77777777" w:rsidR="00AF02EF" w:rsidRPr="00313B59" w:rsidRDefault="00AF02EF" w:rsidP="0061075E">
            <w:pPr>
              <w:jc w:val="both"/>
            </w:pPr>
          </w:p>
        </w:tc>
        <w:tc>
          <w:tcPr>
            <w:tcW w:w="2079" w:type="dxa"/>
            <w:shd w:val="clear" w:color="auto" w:fill="auto"/>
          </w:tcPr>
          <w:p w14:paraId="7ACFAEB3" w14:textId="77777777" w:rsidR="00AF02EF" w:rsidRPr="00313B59" w:rsidRDefault="00AF02EF" w:rsidP="0061075E">
            <w:pPr>
              <w:jc w:val="both"/>
            </w:pPr>
          </w:p>
        </w:tc>
        <w:tc>
          <w:tcPr>
            <w:tcW w:w="2079" w:type="dxa"/>
          </w:tcPr>
          <w:p w14:paraId="0C6E15E5" w14:textId="77777777" w:rsidR="00AF02EF" w:rsidRPr="00313B59" w:rsidRDefault="00AF02EF" w:rsidP="0061075E"/>
        </w:tc>
        <w:tc>
          <w:tcPr>
            <w:tcW w:w="3969" w:type="dxa"/>
          </w:tcPr>
          <w:p w14:paraId="764AB83F" w14:textId="77777777" w:rsidR="00AF02EF" w:rsidRPr="00313B59" w:rsidRDefault="00AF02EF" w:rsidP="0061075E"/>
        </w:tc>
      </w:tr>
      <w:tr w:rsidR="00AF02EF" w:rsidRPr="00313B59" w14:paraId="17AB942E" w14:textId="77777777" w:rsidTr="0061075E">
        <w:trPr>
          <w:trHeight w:val="506"/>
        </w:trPr>
        <w:tc>
          <w:tcPr>
            <w:tcW w:w="4536" w:type="dxa"/>
            <w:shd w:val="clear" w:color="auto" w:fill="auto"/>
          </w:tcPr>
          <w:p w14:paraId="188B742C" w14:textId="77777777" w:rsidR="00AF02EF" w:rsidRPr="00313B59" w:rsidRDefault="00AF02EF" w:rsidP="00AF02EF">
            <w:pPr>
              <w:pStyle w:val="ListParagraph"/>
              <w:numPr>
                <w:ilvl w:val="0"/>
                <w:numId w:val="1"/>
              </w:numPr>
              <w:tabs>
                <w:tab w:val="left" w:pos="463"/>
                <w:tab w:val="left" w:pos="605"/>
              </w:tabs>
              <w:autoSpaceDE w:val="0"/>
              <w:autoSpaceDN w:val="0"/>
              <w:adjustRightInd w:val="0"/>
              <w:ind w:left="0" w:firstLine="0"/>
              <w:jc w:val="both"/>
            </w:pPr>
            <w:r w:rsidRPr="00313B59">
              <w:t xml:space="preserve">An Applicant and (or) a partner (-s) has not provided false information in an application or its annexes. </w:t>
            </w:r>
          </w:p>
        </w:tc>
        <w:tc>
          <w:tcPr>
            <w:tcW w:w="2079" w:type="dxa"/>
            <w:shd w:val="clear" w:color="auto" w:fill="auto"/>
          </w:tcPr>
          <w:p w14:paraId="38F481F8" w14:textId="77777777" w:rsidR="00AF02EF" w:rsidRPr="00313B59" w:rsidRDefault="00AF02EF" w:rsidP="0061075E">
            <w:pPr>
              <w:jc w:val="both"/>
            </w:pPr>
          </w:p>
        </w:tc>
        <w:tc>
          <w:tcPr>
            <w:tcW w:w="2079" w:type="dxa"/>
            <w:shd w:val="clear" w:color="auto" w:fill="auto"/>
          </w:tcPr>
          <w:p w14:paraId="172AD399" w14:textId="77777777" w:rsidR="00AF02EF" w:rsidRPr="00313B59" w:rsidRDefault="00AF02EF" w:rsidP="0061075E">
            <w:pPr>
              <w:jc w:val="both"/>
            </w:pPr>
          </w:p>
        </w:tc>
        <w:tc>
          <w:tcPr>
            <w:tcW w:w="2079" w:type="dxa"/>
          </w:tcPr>
          <w:p w14:paraId="61045984" w14:textId="77777777" w:rsidR="00AF02EF" w:rsidRPr="00313B59" w:rsidRDefault="00AF02EF" w:rsidP="0061075E"/>
        </w:tc>
        <w:tc>
          <w:tcPr>
            <w:tcW w:w="3969" w:type="dxa"/>
          </w:tcPr>
          <w:p w14:paraId="7EEAFAFC" w14:textId="77777777" w:rsidR="00AF02EF" w:rsidRPr="00313B59" w:rsidRDefault="00AF02EF" w:rsidP="0061075E"/>
        </w:tc>
      </w:tr>
    </w:tbl>
    <w:p w14:paraId="2C605B4A" w14:textId="77777777" w:rsidR="00AF02EF" w:rsidRPr="00313B59" w:rsidRDefault="00AF02EF" w:rsidP="00AF02EF">
      <w:pPr>
        <w:jc w:val="center"/>
        <w:rPr>
          <w:b/>
          <w:bCs/>
          <w:color w:val="000000"/>
        </w:rPr>
      </w:pPr>
    </w:p>
    <w:p w14:paraId="079AF0AA" w14:textId="77777777" w:rsidR="00AF02EF" w:rsidRPr="00313B59" w:rsidRDefault="00AF02EF" w:rsidP="00AF02EF">
      <w:pPr>
        <w:jc w:val="center"/>
      </w:pPr>
    </w:p>
    <w:p w14:paraId="5E0F67DF" w14:textId="77777777" w:rsidR="00AF02EF" w:rsidRPr="00313B59" w:rsidRDefault="00AF02EF" w:rsidP="00AF02EF">
      <w:pPr>
        <w:ind w:firstLine="284"/>
        <w:jc w:val="both"/>
      </w:pPr>
      <w:r w:rsidRPr="00313B59">
        <w:rPr>
          <w:b/>
          <w:bCs/>
        </w:rPr>
        <w:t>CONCLUSIONS ON ADMINISTRATIVE CRITERIA EVALUATION OF A PROJECT:</w:t>
      </w:r>
    </w:p>
    <w:p w14:paraId="1010C61C" w14:textId="77777777" w:rsidR="00AF02EF" w:rsidRPr="00313B59" w:rsidRDefault="00AF02EF" w:rsidP="00AF02EF">
      <w:pPr>
        <w:jc w:val="both"/>
      </w:pPr>
      <w:r w:rsidRPr="00313B59">
        <w:t> </w:t>
      </w:r>
    </w:p>
    <w:p w14:paraId="6E8CC974" w14:textId="77777777" w:rsidR="00AF02EF" w:rsidRPr="00313B59" w:rsidRDefault="00AF02EF" w:rsidP="00AF02EF">
      <w:pPr>
        <w:ind w:left="720" w:hanging="360"/>
        <w:jc w:val="both"/>
        <w:rPr>
          <w:iCs/>
        </w:rPr>
      </w:pPr>
      <w:r w:rsidRPr="00313B59">
        <w:rPr>
          <w:b/>
          <w:bCs/>
        </w:rPr>
        <w:t>An application has been evaluated positively in accordance with administrative criteria:</w:t>
      </w:r>
    </w:p>
    <w:p w14:paraId="2A196A91" w14:textId="77777777" w:rsidR="00AF02EF" w:rsidRPr="00313B59" w:rsidRDefault="00AF02EF" w:rsidP="00AF02EF">
      <w:pPr>
        <w:ind w:left="720" w:hanging="11"/>
        <w:jc w:val="both"/>
      </w:pPr>
      <w:r w:rsidRPr="00313B59">
        <w:rPr>
          <w:sz w:val="28"/>
          <w:szCs w:val="28"/>
        </w:rPr>
        <w:t>□</w:t>
      </w:r>
      <w:r w:rsidRPr="00313B59">
        <w:t> Yes                                              </w:t>
      </w:r>
      <w:r w:rsidRPr="00313B59">
        <w:rPr>
          <w:sz w:val="28"/>
          <w:szCs w:val="28"/>
        </w:rPr>
        <w:t>□</w:t>
      </w:r>
      <w:r w:rsidRPr="00313B59">
        <w:t> No                                                     </w:t>
      </w:r>
      <w:r w:rsidRPr="00313B59">
        <w:rPr>
          <w:sz w:val="28"/>
          <w:szCs w:val="28"/>
        </w:rPr>
        <w:t>□</w:t>
      </w:r>
      <w:r w:rsidRPr="00313B59">
        <w:t> Conditional Yes </w:t>
      </w:r>
    </w:p>
    <w:p w14:paraId="2C1A073B" w14:textId="77777777" w:rsidR="00AF02EF" w:rsidRPr="00313B59" w:rsidRDefault="00AF02EF" w:rsidP="00AF02EF">
      <w:pPr>
        <w:ind w:left="720" w:hanging="11"/>
        <w:jc w:val="both"/>
      </w:pPr>
      <w:r w:rsidRPr="00313B59">
        <w:t>Comments: ____________________________________________________________________</w:t>
      </w:r>
    </w:p>
    <w:p w14:paraId="7D943201" w14:textId="77777777" w:rsidR="00AF02EF" w:rsidRPr="00313B59" w:rsidRDefault="00AF02EF" w:rsidP="00AF02EF">
      <w:pPr>
        <w:ind w:left="720"/>
        <w:jc w:val="both"/>
      </w:pPr>
      <w:r w:rsidRPr="00313B59">
        <w:t> </w:t>
      </w:r>
    </w:p>
    <w:p w14:paraId="394F4CD2" w14:textId="77777777" w:rsidR="00AF02EF" w:rsidRPr="00313B59" w:rsidRDefault="00AF02EF" w:rsidP="00AF02EF">
      <w:pPr>
        <w:ind w:left="720" w:hanging="360"/>
        <w:jc w:val="both"/>
      </w:pPr>
      <w:r w:rsidRPr="00313B59">
        <w:rPr>
          <w:b/>
          <w:bCs/>
        </w:rPr>
        <w:t>Comments:</w:t>
      </w:r>
    </w:p>
    <w:tbl>
      <w:tblPr>
        <w:tblW w:w="0" w:type="auto"/>
        <w:tblInd w:w="421" w:type="dxa"/>
        <w:tblCellMar>
          <w:left w:w="0" w:type="dxa"/>
          <w:right w:w="0" w:type="dxa"/>
        </w:tblCellMar>
        <w:tblLook w:val="04A0" w:firstRow="1" w:lastRow="0" w:firstColumn="1" w:lastColumn="0" w:noHBand="0" w:noVBand="1"/>
      </w:tblPr>
      <w:tblGrid>
        <w:gridCol w:w="13592"/>
      </w:tblGrid>
      <w:tr w:rsidR="00AF02EF" w:rsidRPr="00313B59" w14:paraId="4B070D0F" w14:textId="77777777" w:rsidTr="0061075E">
        <w:tc>
          <w:tcPr>
            <w:tcW w:w="1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2E2E4" w14:textId="77777777" w:rsidR="00AF02EF" w:rsidRPr="00313B59" w:rsidRDefault="00AF02EF" w:rsidP="0061075E">
            <w:pPr>
              <w:jc w:val="both"/>
            </w:pPr>
            <w:r w:rsidRPr="00313B59">
              <w:rPr>
                <w:b/>
                <w:bCs/>
              </w:rPr>
              <w:t> </w:t>
            </w:r>
          </w:p>
        </w:tc>
      </w:tr>
    </w:tbl>
    <w:p w14:paraId="688CD62F" w14:textId="77777777" w:rsidR="00AF02EF" w:rsidRPr="00313B59" w:rsidRDefault="00AF02EF" w:rsidP="00AF02EF">
      <w:pPr>
        <w:ind w:firstLine="310"/>
        <w:jc w:val="both"/>
      </w:pPr>
      <w:r w:rsidRPr="00313B59">
        <w:t> </w:t>
      </w:r>
    </w:p>
    <w:p w14:paraId="7E01ABD4" w14:textId="77777777" w:rsidR="00AF02EF" w:rsidRPr="00313B59" w:rsidRDefault="00AF02EF" w:rsidP="00AF02EF">
      <w:pPr>
        <w:jc w:val="center"/>
      </w:pPr>
      <w:r w:rsidRPr="00313B59">
        <w:rPr>
          <w:b/>
          <w:bCs/>
        </w:rPr>
        <w:t> </w:t>
      </w:r>
    </w:p>
    <w:p w14:paraId="2129CD4B" w14:textId="77777777" w:rsidR="00AF02EF" w:rsidRPr="00313B59" w:rsidRDefault="00AF02EF" w:rsidP="00AF02EF">
      <w:pPr>
        <w:ind w:left="426"/>
        <w:jc w:val="both"/>
      </w:pPr>
      <w:r w:rsidRPr="00313B59">
        <w:t>____________________________________                         ______________________                 ___________________________</w:t>
      </w:r>
    </w:p>
    <w:p w14:paraId="5BB571AA" w14:textId="77777777" w:rsidR="00AF02EF" w:rsidRPr="00313B59" w:rsidRDefault="00AF02EF" w:rsidP="00AF02EF">
      <w:pPr>
        <w:ind w:left="426"/>
        <w:jc w:val="both"/>
      </w:pPr>
      <w:r w:rsidRPr="00313B59">
        <w:t xml:space="preserve">(job position of a person from the institution </w:t>
      </w:r>
    </w:p>
    <w:p w14:paraId="5AD6622B" w14:textId="77777777" w:rsidR="00AF02EF" w:rsidRPr="004A2564" w:rsidRDefault="00AF02EF" w:rsidP="00AF02EF">
      <w:pPr>
        <w:ind w:left="426"/>
        <w:jc w:val="both"/>
      </w:pPr>
      <w:r w:rsidRPr="00313B59">
        <w:t>responsible for evaluation of an application)</w:t>
      </w:r>
      <w:r w:rsidRPr="00313B59">
        <w:tab/>
        <w:t xml:space="preserve">              </w:t>
      </w:r>
      <w:proofErr w:type="gramStart"/>
      <w:r w:rsidRPr="00313B59">
        <w:t xml:space="preserve">   (</w:t>
      </w:r>
      <w:proofErr w:type="gramEnd"/>
      <w:r w:rsidRPr="00313B59">
        <w:t>data)               (Name and surname, signature, if a paper version is being filled in)</w:t>
      </w:r>
    </w:p>
    <w:p w14:paraId="402A7C17" w14:textId="77777777" w:rsidR="00AF02EF" w:rsidRDefault="00AF02EF"/>
    <w:sectPr w:rsidR="00AF02EF" w:rsidSect="00454CA9">
      <w:pgSz w:w="16838" w:h="11906" w:orient="landscape"/>
      <w:pgMar w:top="1701" w:right="1812"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148F1"/>
    <w:multiLevelType w:val="hybridMultilevel"/>
    <w:tmpl w:val="5D38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EF"/>
    <w:rsid w:val="000352DE"/>
    <w:rsid w:val="001D45AF"/>
    <w:rsid w:val="002929A0"/>
    <w:rsid w:val="003069A0"/>
    <w:rsid w:val="003305CC"/>
    <w:rsid w:val="00396DF1"/>
    <w:rsid w:val="004F354B"/>
    <w:rsid w:val="00502389"/>
    <w:rsid w:val="00502472"/>
    <w:rsid w:val="005905D0"/>
    <w:rsid w:val="005C7D5B"/>
    <w:rsid w:val="006C31B7"/>
    <w:rsid w:val="0080353F"/>
    <w:rsid w:val="00832E6D"/>
    <w:rsid w:val="008B71B9"/>
    <w:rsid w:val="00A76A66"/>
    <w:rsid w:val="00AF02EF"/>
    <w:rsid w:val="00B0486A"/>
    <w:rsid w:val="00C014B3"/>
    <w:rsid w:val="00C25B17"/>
    <w:rsid w:val="00C32CEE"/>
    <w:rsid w:val="00C859E2"/>
    <w:rsid w:val="00EE0D24"/>
    <w:rsid w:val="00EF2022"/>
    <w:rsid w:val="00EF7432"/>
    <w:rsid w:val="00F12099"/>
    <w:rsid w:val="00FC396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1EBE606D"/>
  <w15:chartTrackingRefBased/>
  <w15:docId w15:val="{3A024114-A667-324B-92F9-4C52EA7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EF"/>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99"/>
    <w:qFormat/>
    <w:rsid w:val="00AF02EF"/>
    <w:pPr>
      <w:ind w:left="720"/>
      <w:contextualSpacing/>
    </w:pPr>
  </w:style>
  <w:style w:type="character" w:customStyle="1" w:styleId="ListParagraphChar">
    <w:name w:val="List Paragraph Char"/>
    <w:aliases w:val="body Char,Odsek zoznamu2 Char"/>
    <w:basedOn w:val="DefaultParagraphFont"/>
    <w:link w:val="ListParagraph"/>
    <w:uiPriority w:val="99"/>
    <w:locked/>
    <w:rsid w:val="00AF02EF"/>
    <w:rPr>
      <w:rFonts w:ascii="Times New Roman" w:eastAsia="Times New Roman" w:hAnsi="Times New Roman" w:cs="Times New Roman"/>
      <w:lang w:val="en-US" w:eastAsia="en-GB"/>
    </w:rPr>
  </w:style>
  <w:style w:type="paragraph" w:styleId="BalloonText">
    <w:name w:val="Balloon Text"/>
    <w:basedOn w:val="Normal"/>
    <w:link w:val="BalloonTextChar"/>
    <w:uiPriority w:val="99"/>
    <w:semiHidden/>
    <w:unhideWhenUsed/>
    <w:rsid w:val="00EE0D24"/>
    <w:rPr>
      <w:sz w:val="18"/>
      <w:szCs w:val="18"/>
    </w:rPr>
  </w:style>
  <w:style w:type="character" w:customStyle="1" w:styleId="BalloonTextChar">
    <w:name w:val="Balloon Text Char"/>
    <w:basedOn w:val="DefaultParagraphFont"/>
    <w:link w:val="BalloonText"/>
    <w:uiPriority w:val="99"/>
    <w:semiHidden/>
    <w:rsid w:val="00EE0D24"/>
    <w:rPr>
      <w:rFonts w:ascii="Times New Roman" w:eastAsia="Times New Roman" w:hAnsi="Times New Roman" w:cs="Times New Roman"/>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8AFC-C00E-4007-B3FD-389BFCF15A92}"/>
</file>

<file path=customXml/itemProps2.xml><?xml version="1.0" encoding="utf-8"?>
<ds:datastoreItem xmlns:ds="http://schemas.openxmlformats.org/officeDocument/2006/customXml" ds:itemID="{5C0412B2-D32B-49DE-9EC4-0CAEAAB4D94E}"/>
</file>

<file path=customXml/itemProps3.xml><?xml version="1.0" encoding="utf-8"?>
<ds:datastoreItem xmlns:ds="http://schemas.openxmlformats.org/officeDocument/2006/customXml" ds:itemID="{5431F9C9-BDEE-4608-9426-52A6544F22CF}"/>
</file>

<file path=docProps/app.xml><?xml version="1.0" encoding="utf-8"?>
<Properties xmlns="http://schemas.openxmlformats.org/officeDocument/2006/extended-properties" xmlns:vt="http://schemas.openxmlformats.org/officeDocument/2006/docPropsVTypes">
  <Template>Normal.dotm</Template>
  <TotalTime>104</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Sinkevičiūtė</dc:creator>
  <cp:keywords/>
  <dc:description/>
  <cp:lastModifiedBy>Beata Mažul</cp:lastModifiedBy>
  <cp:revision>15</cp:revision>
  <dcterms:created xsi:type="dcterms:W3CDTF">2020-07-26T13:23:00Z</dcterms:created>
  <dcterms:modified xsi:type="dcterms:W3CDTF">2020-07-27T06:23:00Z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