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1519E" w14:textId="50F247D8" w:rsidR="0012370B" w:rsidRDefault="0012370B" w:rsidP="00EF0113">
      <w:pPr>
        <w:jc w:val="right"/>
        <w:rPr>
          <w:rFonts w:ascii="Times" w:hAnsi="Times" w:cs="Helvetica"/>
          <w:b/>
          <w:bCs/>
          <w:caps/>
          <w:lang w:val="en-GB"/>
        </w:rPr>
      </w:pPr>
      <w:r>
        <w:rPr>
          <w:rFonts w:ascii="Times" w:hAnsi="Times" w:cs="Helvetica"/>
          <w:b/>
          <w:bCs/>
          <w:caps/>
          <w:lang w:val="en-GB"/>
        </w:rPr>
        <w:t>Draft</w:t>
      </w:r>
    </w:p>
    <w:p w14:paraId="7079FED2" w14:textId="57550DCC" w:rsidR="0087528A" w:rsidRPr="00C540E2" w:rsidRDefault="0087528A" w:rsidP="00C540E2">
      <w:pPr>
        <w:spacing w:after="120" w:line="240" w:lineRule="auto"/>
        <w:jc w:val="center"/>
        <w:rPr>
          <w:rFonts w:ascii="Times New Roman" w:hAnsi="Times New Roman" w:cs="Times New Roman"/>
          <w:b/>
          <w:bCs/>
          <w:sz w:val="24"/>
          <w:szCs w:val="24"/>
          <w:lang w:val="en-GB"/>
        </w:rPr>
      </w:pPr>
      <w:r w:rsidRPr="00C540E2">
        <w:rPr>
          <w:rFonts w:ascii="Times New Roman" w:hAnsi="Times New Roman" w:cs="Times New Roman"/>
          <w:b/>
          <w:bCs/>
          <w:sz w:val="24"/>
          <w:szCs w:val="24"/>
          <w:lang w:val="en-GB"/>
        </w:rPr>
        <w:t>GUIDELINES FOR THE APPLICANTS</w:t>
      </w:r>
      <w:r w:rsidR="00B6310B" w:rsidRPr="00C540E2">
        <w:rPr>
          <w:rFonts w:ascii="Times New Roman" w:hAnsi="Times New Roman" w:cs="Times New Roman"/>
          <w:b/>
          <w:bCs/>
          <w:sz w:val="24"/>
          <w:szCs w:val="24"/>
          <w:lang w:val="en-GB"/>
        </w:rPr>
        <w:t xml:space="preserve"> </w:t>
      </w:r>
      <w:r w:rsidRPr="00C540E2">
        <w:rPr>
          <w:rFonts w:ascii="Times New Roman" w:hAnsi="Times New Roman" w:cs="Times New Roman"/>
          <w:b/>
          <w:bCs/>
          <w:sz w:val="24"/>
          <w:szCs w:val="24"/>
          <w:lang w:val="en-GB"/>
        </w:rPr>
        <w:t>OF THE CALL</w:t>
      </w:r>
    </w:p>
    <w:p w14:paraId="13319F40" w14:textId="3B79C650" w:rsidR="0087528A" w:rsidRPr="00C540E2" w:rsidRDefault="0087528A" w:rsidP="00C540E2">
      <w:pPr>
        <w:spacing w:after="120" w:line="240" w:lineRule="auto"/>
        <w:jc w:val="center"/>
        <w:rPr>
          <w:rFonts w:ascii="Times New Roman" w:hAnsi="Times New Roman" w:cs="Times New Roman"/>
          <w:b/>
          <w:bCs/>
          <w:sz w:val="24"/>
          <w:szCs w:val="24"/>
          <w:lang w:val="en-GB"/>
        </w:rPr>
      </w:pPr>
      <w:r w:rsidRPr="00C540E2">
        <w:rPr>
          <w:rFonts w:ascii="Times New Roman" w:hAnsi="Times New Roman" w:cs="Times New Roman"/>
          <w:b/>
          <w:bCs/>
          <w:sz w:val="24"/>
          <w:szCs w:val="24"/>
          <w:lang w:val="en-GB"/>
        </w:rPr>
        <w:t>“</w:t>
      </w:r>
      <w:r w:rsidR="00D40791" w:rsidRPr="00C540E2">
        <w:rPr>
          <w:rFonts w:ascii="Times New Roman" w:hAnsi="Times New Roman" w:cs="Times New Roman"/>
          <w:b/>
          <w:bCs/>
          <w:sz w:val="24"/>
          <w:szCs w:val="24"/>
          <w:lang w:val="en-GB"/>
        </w:rPr>
        <w:t xml:space="preserve">INTRODUCTION OF THE ADAPTED AND EXTENDED MODEL OF THE PROVISION OF YOUTH-FRIENDLY HEALTHCARE SERVICES (YFHCSs) </w:t>
      </w:r>
      <w:r w:rsidRPr="00C540E2">
        <w:rPr>
          <w:rFonts w:ascii="Times New Roman" w:hAnsi="Times New Roman" w:cs="Times New Roman"/>
          <w:b/>
          <w:bCs/>
          <w:sz w:val="24"/>
          <w:szCs w:val="24"/>
          <w:lang w:val="en-GB"/>
        </w:rPr>
        <w:t>“</w:t>
      </w:r>
    </w:p>
    <w:p w14:paraId="21AF9D02" w14:textId="71B70F85" w:rsidR="0087528A" w:rsidRPr="00C540E2" w:rsidRDefault="0087528A" w:rsidP="00C540E2">
      <w:p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sz w:val="24"/>
          <w:szCs w:val="24"/>
          <w:lang w:val="en-GB"/>
        </w:rPr>
        <w:t xml:space="preserve">UNDER THE PROGRAMME “HEALTH“ </w:t>
      </w:r>
      <w:bookmarkStart w:id="0" w:name="_GoBack"/>
      <w:bookmarkEnd w:id="0"/>
      <w:r w:rsidRPr="00C540E2">
        <w:rPr>
          <w:rFonts w:ascii="Times New Roman" w:hAnsi="Times New Roman" w:cs="Times New Roman"/>
          <w:b/>
          <w:bCs/>
          <w:sz w:val="24"/>
          <w:szCs w:val="24"/>
          <w:lang w:val="en-GB"/>
        </w:rPr>
        <w:t>OF THE EUROPEAN ECONOMIC AREA FINANCIAL MECHANISM 2014-2021</w:t>
      </w:r>
    </w:p>
    <w:p w14:paraId="2911DC82" w14:textId="5857C517" w:rsidR="00A1114C" w:rsidRPr="00C540E2" w:rsidRDefault="006F13C3" w:rsidP="00C540E2">
      <w:pPr>
        <w:pStyle w:val="ListParagraph"/>
        <w:numPr>
          <w:ilvl w:val="0"/>
          <w:numId w:val="1"/>
        </w:numPr>
        <w:tabs>
          <w:tab w:val="left" w:pos="3686"/>
        </w:tabs>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G</w:t>
      </w:r>
      <w:r w:rsidR="00B13F98" w:rsidRPr="00C540E2">
        <w:rPr>
          <w:rFonts w:ascii="Times New Roman" w:hAnsi="Times New Roman" w:cs="Times New Roman"/>
          <w:b/>
          <w:bCs/>
          <w:caps/>
          <w:sz w:val="24"/>
          <w:szCs w:val="24"/>
          <w:lang w:val="en-GB"/>
        </w:rPr>
        <w:t>e</w:t>
      </w:r>
      <w:r w:rsidRPr="00C540E2">
        <w:rPr>
          <w:rFonts w:ascii="Times New Roman" w:hAnsi="Times New Roman" w:cs="Times New Roman"/>
          <w:b/>
          <w:bCs/>
          <w:caps/>
          <w:sz w:val="24"/>
          <w:szCs w:val="24"/>
          <w:lang w:val="en-GB"/>
        </w:rPr>
        <w:t>neral provisions</w:t>
      </w:r>
    </w:p>
    <w:p w14:paraId="06416221" w14:textId="77777777" w:rsidR="005E6844" w:rsidRPr="00C540E2" w:rsidRDefault="005E6844" w:rsidP="00C540E2">
      <w:pPr>
        <w:pStyle w:val="ListParagraph"/>
        <w:spacing w:after="120" w:line="240" w:lineRule="auto"/>
        <w:ind w:left="1080"/>
        <w:rPr>
          <w:rFonts w:ascii="Times New Roman" w:hAnsi="Times New Roman" w:cs="Times New Roman"/>
          <w:b/>
          <w:bCs/>
          <w:sz w:val="24"/>
          <w:szCs w:val="24"/>
          <w:lang w:val="en-GB"/>
        </w:rPr>
      </w:pPr>
    </w:p>
    <w:p w14:paraId="52BADAE8" w14:textId="39C2F8B1" w:rsidR="003F61EA" w:rsidRPr="00C540E2" w:rsidRDefault="00C36917" w:rsidP="00C540E2">
      <w:pPr>
        <w:pStyle w:val="ListParagraph"/>
        <w:numPr>
          <w:ilvl w:val="0"/>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The Guidelines for Applicants of the open call “</w:t>
      </w:r>
      <w:r w:rsidR="00D40791" w:rsidRPr="00C540E2">
        <w:rPr>
          <w:rFonts w:ascii="Times New Roman" w:hAnsi="Times New Roman" w:cs="Times New Roman"/>
          <w:b/>
          <w:sz w:val="24"/>
          <w:szCs w:val="24"/>
          <w:lang w:val="en-GB" w:eastAsia="lt-LT"/>
        </w:rPr>
        <w:t>Introduction of the adapted and extended model of the provision of youth-friendly healthcare services (YFHCSs)</w:t>
      </w:r>
      <w:r w:rsidR="00E908F0" w:rsidRPr="00C540E2">
        <w:rPr>
          <w:rFonts w:ascii="Times New Roman" w:hAnsi="Times New Roman" w:cs="Times New Roman"/>
          <w:b/>
          <w:bCs/>
          <w:sz w:val="24"/>
          <w:szCs w:val="24"/>
          <w:lang w:val="en-GB"/>
        </w:rPr>
        <w:t>”</w:t>
      </w:r>
      <w:r w:rsidR="00CA352C" w:rsidRPr="00C540E2">
        <w:rPr>
          <w:rFonts w:ascii="Times New Roman" w:hAnsi="Times New Roman" w:cs="Times New Roman"/>
          <w:b/>
          <w:bCs/>
          <w:sz w:val="24"/>
          <w:szCs w:val="24"/>
          <w:lang w:val="en-GB"/>
        </w:rPr>
        <w:t xml:space="preserve"> (hereinafter – Guidelines)</w:t>
      </w:r>
      <w:r w:rsidRPr="00C540E2">
        <w:rPr>
          <w:rFonts w:ascii="Times New Roman" w:hAnsi="Times New Roman" w:cs="Times New Roman"/>
          <w:sz w:val="24"/>
          <w:szCs w:val="24"/>
          <w:lang w:val="en-GB" w:eastAsia="lt-LT"/>
        </w:rPr>
        <w:t xml:space="preserve"> under the EEA financial mechanism programme “</w:t>
      </w:r>
      <w:r w:rsidR="00936041" w:rsidRPr="00C540E2">
        <w:rPr>
          <w:rFonts w:ascii="Times New Roman" w:hAnsi="Times New Roman" w:cs="Times New Roman"/>
          <w:sz w:val="24"/>
          <w:szCs w:val="24"/>
          <w:lang w:val="en-GB" w:eastAsia="lt-LT"/>
        </w:rPr>
        <w:t>He</w:t>
      </w:r>
      <w:r w:rsidR="00CA352C" w:rsidRPr="00C540E2">
        <w:rPr>
          <w:rFonts w:ascii="Times New Roman" w:hAnsi="Times New Roman" w:cs="Times New Roman"/>
          <w:sz w:val="24"/>
          <w:szCs w:val="24"/>
          <w:lang w:val="en-GB" w:eastAsia="lt-LT"/>
        </w:rPr>
        <w:t>a</w:t>
      </w:r>
      <w:r w:rsidR="00936041" w:rsidRPr="00C540E2">
        <w:rPr>
          <w:rFonts w:ascii="Times New Roman" w:hAnsi="Times New Roman" w:cs="Times New Roman"/>
          <w:sz w:val="24"/>
          <w:szCs w:val="24"/>
          <w:lang w:val="en-GB" w:eastAsia="lt-LT"/>
        </w:rPr>
        <w:t>l</w:t>
      </w:r>
      <w:r w:rsidR="00CA352C" w:rsidRPr="00C540E2">
        <w:rPr>
          <w:rFonts w:ascii="Times New Roman" w:hAnsi="Times New Roman" w:cs="Times New Roman"/>
          <w:sz w:val="24"/>
          <w:szCs w:val="24"/>
          <w:lang w:val="en-GB" w:eastAsia="lt-LT"/>
        </w:rPr>
        <w:t>th</w:t>
      </w:r>
      <w:r w:rsidRPr="00C540E2">
        <w:rPr>
          <w:rFonts w:ascii="Times New Roman" w:hAnsi="Times New Roman" w:cs="Times New Roman"/>
          <w:sz w:val="24"/>
          <w:szCs w:val="24"/>
          <w:lang w:val="en-GB" w:eastAsia="lt-LT"/>
        </w:rPr>
        <w:t>” 2014-2021 lays down the requirements for applicants, which they shall follow in preparing and submitting their applications</w:t>
      </w:r>
      <w:r w:rsidR="003F61EA" w:rsidRPr="00C540E2">
        <w:rPr>
          <w:rFonts w:ascii="Times New Roman" w:hAnsi="Times New Roman" w:cs="Times New Roman"/>
          <w:sz w:val="24"/>
          <w:szCs w:val="24"/>
          <w:lang w:val="en-GB" w:eastAsia="lt-LT"/>
        </w:rPr>
        <w:t>.</w:t>
      </w:r>
    </w:p>
    <w:p w14:paraId="3A66A589" w14:textId="2681187E" w:rsidR="00FE236C" w:rsidRPr="00C540E2" w:rsidRDefault="002C35AD" w:rsidP="00C540E2">
      <w:pPr>
        <w:pStyle w:val="ListParagraph"/>
        <w:numPr>
          <w:ilvl w:val="0"/>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The Guidelines for Applicants have been prepared in observance of the following</w:t>
      </w:r>
      <w:r w:rsidR="00FE236C" w:rsidRPr="00C540E2">
        <w:rPr>
          <w:rFonts w:ascii="Times New Roman" w:hAnsi="Times New Roman" w:cs="Times New Roman"/>
          <w:sz w:val="24"/>
          <w:szCs w:val="24"/>
          <w:lang w:val="en-GB" w:eastAsia="lt-LT"/>
        </w:rPr>
        <w:t>:</w:t>
      </w:r>
    </w:p>
    <w:p w14:paraId="06A4884C" w14:textId="153A02EC" w:rsidR="00505B4D" w:rsidRPr="00C540E2" w:rsidRDefault="002C35AD"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 xml:space="preserve">Memorandum of Understanding regarding the implementation of EEA </w:t>
      </w:r>
      <w:r w:rsidR="00ED6F56" w:rsidRPr="00C540E2">
        <w:rPr>
          <w:rFonts w:ascii="Times New Roman" w:hAnsi="Times New Roman" w:cs="Times New Roman"/>
          <w:sz w:val="24"/>
          <w:szCs w:val="24"/>
          <w:lang w:val="en-GB" w:eastAsia="lt-LT"/>
        </w:rPr>
        <w:t>financial</w:t>
      </w:r>
      <w:r w:rsidRPr="00C540E2">
        <w:rPr>
          <w:rFonts w:ascii="Times New Roman" w:hAnsi="Times New Roman" w:cs="Times New Roman"/>
          <w:sz w:val="24"/>
          <w:szCs w:val="24"/>
          <w:lang w:val="en-GB" w:eastAsia="lt-LT"/>
        </w:rPr>
        <w:t xml:space="preserve"> mechanism 2014–2021 of 24 April 2018 </w:t>
      </w:r>
      <w:r w:rsidR="006F13C3" w:rsidRPr="00C540E2">
        <w:rPr>
          <w:rFonts w:ascii="Times New Roman" w:hAnsi="Times New Roman" w:cs="Times New Roman"/>
          <w:sz w:val="24"/>
          <w:szCs w:val="24"/>
          <w:lang w:val="en-GB" w:eastAsia="lt-LT"/>
        </w:rPr>
        <w:t>among</w:t>
      </w:r>
      <w:r w:rsidRPr="00C540E2">
        <w:rPr>
          <w:rFonts w:ascii="Times New Roman" w:hAnsi="Times New Roman" w:cs="Times New Roman"/>
          <w:sz w:val="24"/>
          <w:szCs w:val="24"/>
          <w:lang w:val="en-GB" w:eastAsia="lt-LT"/>
        </w:rPr>
        <w:t xml:space="preserve"> the Republic of Lithuania and Iceland</w:t>
      </w:r>
      <w:r w:rsidR="00ED6F56" w:rsidRPr="00C540E2">
        <w:rPr>
          <w:rFonts w:ascii="Times New Roman" w:hAnsi="Times New Roman" w:cs="Times New Roman"/>
          <w:sz w:val="24"/>
          <w:szCs w:val="24"/>
          <w:lang w:val="en-GB" w:eastAsia="lt-LT"/>
        </w:rPr>
        <w:t>, the Principality of Liechtenstein</w:t>
      </w:r>
      <w:r w:rsidRPr="00C540E2">
        <w:rPr>
          <w:rFonts w:ascii="Times New Roman" w:hAnsi="Times New Roman" w:cs="Times New Roman"/>
          <w:sz w:val="24"/>
          <w:szCs w:val="24"/>
          <w:lang w:val="en-GB" w:eastAsia="lt-LT"/>
        </w:rPr>
        <w:t xml:space="preserve"> </w:t>
      </w:r>
      <w:r w:rsidR="00ED6F56" w:rsidRPr="00C540E2">
        <w:rPr>
          <w:rFonts w:ascii="Times New Roman" w:hAnsi="Times New Roman" w:cs="Times New Roman"/>
          <w:sz w:val="24"/>
          <w:szCs w:val="24"/>
          <w:lang w:val="en-GB" w:eastAsia="lt-LT"/>
        </w:rPr>
        <w:t>and the Kingdom of Norway (hereinafter – the Memorandum)</w:t>
      </w:r>
      <w:r w:rsidR="00505B4D" w:rsidRPr="00C540E2">
        <w:rPr>
          <w:rFonts w:ascii="Times New Roman" w:hAnsi="Times New Roman" w:cs="Times New Roman"/>
          <w:sz w:val="24"/>
          <w:szCs w:val="24"/>
          <w:lang w:val="en-GB" w:eastAsia="lt-LT"/>
        </w:rPr>
        <w:t>;</w:t>
      </w:r>
    </w:p>
    <w:p w14:paraId="6A6C08FB" w14:textId="7616DF40" w:rsidR="00E105C0" w:rsidRPr="00C540E2" w:rsidRDefault="00ED6F5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 xml:space="preserve">Regulation implementing EEA financial mechanism </w:t>
      </w:r>
      <w:r w:rsidRPr="00C540E2">
        <w:rPr>
          <w:rFonts w:ascii="Times New Roman" w:hAnsi="Times New Roman" w:cs="Times New Roman"/>
          <w:bCs/>
          <w:sz w:val="24"/>
          <w:szCs w:val="24"/>
          <w:lang w:val="en-GB"/>
        </w:rPr>
        <w:t>2014–2021 (hereinafter – the Regulation) approved by EEA Financial Mechanism Committee on 8 September 2016</w:t>
      </w:r>
      <w:r w:rsidR="00505B4D" w:rsidRPr="00C540E2">
        <w:rPr>
          <w:rFonts w:ascii="Times New Roman" w:hAnsi="Times New Roman" w:cs="Times New Roman"/>
          <w:bCs/>
          <w:sz w:val="24"/>
          <w:szCs w:val="24"/>
          <w:lang w:val="en-GB"/>
        </w:rPr>
        <w:t>;</w:t>
      </w:r>
    </w:p>
    <w:p w14:paraId="5028C4C2" w14:textId="08424C54" w:rsidR="00E105C0" w:rsidRPr="00C540E2" w:rsidRDefault="00ED6F5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 xml:space="preserve">Rules of Administration and Financing of EEA and Norwegian Financial Mechanisms </w:t>
      </w:r>
      <w:r w:rsidRPr="00C540E2">
        <w:rPr>
          <w:rFonts w:ascii="Times New Roman" w:hAnsi="Times New Roman" w:cs="Times New Roman"/>
          <w:sz w:val="24"/>
          <w:szCs w:val="24"/>
          <w:lang w:val="en-GB"/>
        </w:rPr>
        <w:t xml:space="preserve">2014-2021 </w:t>
      </w:r>
      <w:r w:rsidR="00505B4D"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Order No. 1K-</w:t>
      </w:r>
      <w:r w:rsidR="00E105C0" w:rsidRPr="00C540E2">
        <w:rPr>
          <w:rFonts w:ascii="Times New Roman" w:hAnsi="Times New Roman" w:cs="Times New Roman"/>
          <w:sz w:val="24"/>
          <w:szCs w:val="24"/>
          <w:lang w:val="en-GB"/>
        </w:rPr>
        <w:t>389</w:t>
      </w:r>
      <w:r w:rsidRPr="00C540E2">
        <w:rPr>
          <w:rFonts w:ascii="Times New Roman" w:hAnsi="Times New Roman" w:cs="Times New Roman"/>
          <w:sz w:val="24"/>
          <w:szCs w:val="24"/>
          <w:lang w:val="en-GB"/>
        </w:rPr>
        <w:t xml:space="preserve"> of the Minister of Finance of the </w:t>
      </w:r>
      <w:r w:rsidR="006F13C3" w:rsidRPr="00C540E2">
        <w:rPr>
          <w:rFonts w:ascii="Times New Roman" w:hAnsi="Times New Roman" w:cs="Times New Roman"/>
          <w:sz w:val="24"/>
          <w:szCs w:val="24"/>
          <w:lang w:val="en-GB"/>
        </w:rPr>
        <w:t xml:space="preserve">Republic of Lithuania </w:t>
      </w:r>
      <w:r w:rsidRPr="00C540E2">
        <w:rPr>
          <w:rFonts w:ascii="Times New Roman" w:hAnsi="Times New Roman" w:cs="Times New Roman"/>
          <w:sz w:val="24"/>
          <w:szCs w:val="24"/>
          <w:lang w:val="en-GB"/>
        </w:rPr>
        <w:t xml:space="preserve">of 12 </w:t>
      </w:r>
      <w:r w:rsidR="00E105C0" w:rsidRPr="00C540E2">
        <w:rPr>
          <w:rFonts w:ascii="Times New Roman" w:hAnsi="Times New Roman" w:cs="Times New Roman"/>
          <w:sz w:val="24"/>
          <w:szCs w:val="24"/>
          <w:lang w:val="en-GB"/>
        </w:rPr>
        <w:t xml:space="preserve">November </w:t>
      </w:r>
      <w:r w:rsidR="00505B4D" w:rsidRPr="00C540E2">
        <w:rPr>
          <w:rFonts w:ascii="Times New Roman" w:hAnsi="Times New Roman" w:cs="Times New Roman"/>
          <w:sz w:val="24"/>
          <w:szCs w:val="24"/>
          <w:lang w:val="en-GB"/>
        </w:rPr>
        <w:t>201</w:t>
      </w:r>
      <w:r w:rsidR="00E105C0" w:rsidRPr="00C540E2">
        <w:rPr>
          <w:rFonts w:ascii="Times New Roman" w:hAnsi="Times New Roman" w:cs="Times New Roman"/>
          <w:sz w:val="24"/>
          <w:szCs w:val="24"/>
          <w:lang w:val="en-GB"/>
        </w:rPr>
        <w:t>8</w:t>
      </w:r>
      <w:r w:rsidR="00505B4D" w:rsidRPr="00C540E2">
        <w:rPr>
          <w:rFonts w:ascii="Times New Roman" w:hAnsi="Times New Roman" w:cs="Times New Roman"/>
          <w:sz w:val="24"/>
          <w:szCs w:val="24"/>
          <w:lang w:val="en-GB"/>
        </w:rPr>
        <w:t>);</w:t>
      </w:r>
    </w:p>
    <w:p w14:paraId="3A2AB9F2" w14:textId="4BE15CBC" w:rsidR="00E105C0" w:rsidRPr="00C540E2" w:rsidRDefault="009F402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Contract regarding the financing of the EEA financial mechanism programme “</w:t>
      </w:r>
      <w:r w:rsidR="00CA352C" w:rsidRPr="00C540E2">
        <w:rPr>
          <w:rFonts w:ascii="Times New Roman" w:hAnsi="Times New Roman" w:cs="Times New Roman"/>
          <w:sz w:val="24"/>
          <w:szCs w:val="24"/>
          <w:lang w:val="en-GB" w:eastAsia="lt-LT"/>
        </w:rPr>
        <w:t>Health</w:t>
      </w:r>
      <w:r w:rsidRPr="00C540E2">
        <w:rPr>
          <w:rFonts w:ascii="Times New Roman" w:hAnsi="Times New Roman" w:cs="Times New Roman"/>
          <w:sz w:val="24"/>
          <w:szCs w:val="24"/>
          <w:lang w:val="en-GB" w:eastAsia="lt-LT"/>
        </w:rPr>
        <w:t xml:space="preserve">” 2014-2021 of the Ministry of Finance of the Republic of Lithuania and the EEA Financial </w:t>
      </w:r>
      <w:r w:rsidR="00A24A78" w:rsidRPr="00C540E2">
        <w:rPr>
          <w:rFonts w:ascii="Times New Roman" w:hAnsi="Times New Roman" w:cs="Times New Roman"/>
          <w:sz w:val="24"/>
          <w:szCs w:val="24"/>
          <w:lang w:val="en-GB" w:eastAsia="lt-LT"/>
        </w:rPr>
        <w:t xml:space="preserve">Mechanism Committee of </w:t>
      </w:r>
      <w:r w:rsidR="00CA352C" w:rsidRPr="00C540E2">
        <w:rPr>
          <w:rFonts w:ascii="Times New Roman" w:hAnsi="Times New Roman" w:cs="Times New Roman"/>
          <w:sz w:val="24"/>
          <w:szCs w:val="24"/>
          <w:lang w:val="en-GB" w:eastAsia="lt-LT"/>
        </w:rPr>
        <w:t>3 September</w:t>
      </w:r>
      <w:r w:rsidR="00A24A78" w:rsidRPr="00C540E2">
        <w:rPr>
          <w:rFonts w:ascii="Times New Roman" w:hAnsi="Times New Roman" w:cs="Times New Roman"/>
          <w:sz w:val="24"/>
          <w:szCs w:val="24"/>
          <w:lang w:val="en-GB" w:eastAsia="lt-LT"/>
        </w:rPr>
        <w:t>2019</w:t>
      </w:r>
      <w:r w:rsidR="00056B2E" w:rsidRPr="00C540E2">
        <w:rPr>
          <w:rFonts w:ascii="Times New Roman" w:hAnsi="Times New Roman" w:cs="Times New Roman"/>
          <w:sz w:val="24"/>
          <w:szCs w:val="24"/>
          <w:lang w:val="en-GB" w:eastAsia="lt-LT"/>
        </w:rPr>
        <w:t>;</w:t>
      </w:r>
    </w:p>
    <w:p w14:paraId="6AE3CBB3" w14:textId="7276DF04" w:rsidR="00320A5E" w:rsidRPr="00C540E2" w:rsidRDefault="00B02CA8" w:rsidP="00C540E2">
      <w:pPr>
        <w:pStyle w:val="ListParagraph"/>
        <w:numPr>
          <w:ilvl w:val="0"/>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 xml:space="preserve">The terms used in the Guidelines shall be understood as defined in the legal acts referred to herein and the </w:t>
      </w:r>
      <w:r w:rsidR="006F13C3" w:rsidRPr="00C540E2">
        <w:rPr>
          <w:rFonts w:ascii="Times New Roman" w:hAnsi="Times New Roman" w:cs="Times New Roman"/>
          <w:sz w:val="24"/>
          <w:szCs w:val="24"/>
          <w:lang w:val="en-GB" w:eastAsia="lt-LT"/>
        </w:rPr>
        <w:t>D</w:t>
      </w:r>
      <w:r w:rsidRPr="00C540E2">
        <w:rPr>
          <w:rFonts w:ascii="Times New Roman" w:hAnsi="Times New Roman" w:cs="Times New Roman"/>
          <w:sz w:val="24"/>
          <w:szCs w:val="24"/>
          <w:lang w:val="en-GB" w:eastAsia="lt-LT"/>
        </w:rPr>
        <w:t xml:space="preserve">escription of </w:t>
      </w:r>
      <w:r w:rsidR="005E5E21" w:rsidRPr="00C540E2">
        <w:rPr>
          <w:rFonts w:ascii="Times New Roman" w:hAnsi="Times New Roman" w:cs="Times New Roman"/>
          <w:sz w:val="24"/>
          <w:szCs w:val="24"/>
          <w:lang w:val="en-GB" w:eastAsia="lt-LT"/>
        </w:rPr>
        <w:t>F</w:t>
      </w:r>
      <w:r w:rsidRPr="00C540E2">
        <w:rPr>
          <w:rFonts w:ascii="Times New Roman" w:hAnsi="Times New Roman" w:cs="Times New Roman"/>
          <w:sz w:val="24"/>
          <w:szCs w:val="24"/>
          <w:lang w:val="en-GB" w:eastAsia="lt-LT"/>
        </w:rPr>
        <w:t xml:space="preserve">unctions of the </w:t>
      </w:r>
      <w:r w:rsidR="006F13C3" w:rsidRPr="00C540E2">
        <w:rPr>
          <w:rFonts w:ascii="Times New Roman" w:hAnsi="Times New Roman" w:cs="Times New Roman"/>
          <w:sz w:val="24"/>
          <w:szCs w:val="24"/>
          <w:lang w:val="en-GB" w:eastAsia="lt-LT"/>
        </w:rPr>
        <w:t>Authorities Responsible f</w:t>
      </w:r>
      <w:r w:rsidRPr="00C540E2">
        <w:rPr>
          <w:rFonts w:ascii="Times New Roman" w:hAnsi="Times New Roman" w:cs="Times New Roman"/>
          <w:sz w:val="24"/>
          <w:szCs w:val="24"/>
          <w:lang w:val="en-GB" w:eastAsia="lt-LT"/>
        </w:rPr>
        <w:t xml:space="preserve">or the </w:t>
      </w:r>
      <w:r w:rsidR="006F13C3" w:rsidRPr="00C540E2">
        <w:rPr>
          <w:rFonts w:ascii="Times New Roman" w:hAnsi="Times New Roman" w:cs="Times New Roman"/>
          <w:sz w:val="24"/>
          <w:szCs w:val="24"/>
          <w:lang w:val="en-GB" w:eastAsia="lt-LT"/>
        </w:rPr>
        <w:t>M</w:t>
      </w:r>
      <w:r w:rsidRPr="00C540E2">
        <w:rPr>
          <w:rFonts w:ascii="Times New Roman" w:hAnsi="Times New Roman" w:cs="Times New Roman"/>
          <w:sz w:val="24"/>
          <w:szCs w:val="24"/>
          <w:lang w:val="en-GB" w:eastAsia="lt-LT"/>
        </w:rPr>
        <w:t xml:space="preserve">anagement and </w:t>
      </w:r>
      <w:r w:rsidR="006F13C3" w:rsidRPr="00C540E2">
        <w:rPr>
          <w:rFonts w:ascii="Times New Roman" w:hAnsi="Times New Roman" w:cs="Times New Roman"/>
          <w:sz w:val="24"/>
          <w:szCs w:val="24"/>
          <w:lang w:val="en-GB" w:eastAsia="lt-LT"/>
        </w:rPr>
        <w:t>C</w:t>
      </w:r>
      <w:r w:rsidRPr="00C540E2">
        <w:rPr>
          <w:rFonts w:ascii="Times New Roman" w:hAnsi="Times New Roman" w:cs="Times New Roman"/>
          <w:sz w:val="24"/>
          <w:szCs w:val="24"/>
          <w:lang w:val="en-GB" w:eastAsia="lt-LT"/>
        </w:rPr>
        <w:t xml:space="preserve">ontrol of EEA and Norwegian </w:t>
      </w:r>
      <w:r w:rsidR="006F13C3" w:rsidRPr="00C540E2">
        <w:rPr>
          <w:rFonts w:ascii="Times New Roman" w:hAnsi="Times New Roman" w:cs="Times New Roman"/>
          <w:sz w:val="24"/>
          <w:szCs w:val="24"/>
          <w:lang w:val="en-GB" w:eastAsia="lt-LT"/>
        </w:rPr>
        <w:t>F</w:t>
      </w:r>
      <w:r w:rsidRPr="00C540E2">
        <w:rPr>
          <w:rFonts w:ascii="Times New Roman" w:hAnsi="Times New Roman" w:cs="Times New Roman"/>
          <w:sz w:val="24"/>
          <w:szCs w:val="24"/>
          <w:lang w:val="en-GB" w:eastAsia="lt-LT"/>
        </w:rPr>
        <w:t xml:space="preserve">inancial </w:t>
      </w:r>
      <w:r w:rsidR="006F13C3" w:rsidRPr="00C540E2">
        <w:rPr>
          <w:rFonts w:ascii="Times New Roman" w:hAnsi="Times New Roman" w:cs="Times New Roman"/>
          <w:sz w:val="24"/>
          <w:szCs w:val="24"/>
          <w:lang w:val="en-GB" w:eastAsia="lt-LT"/>
        </w:rPr>
        <w:t>M</w:t>
      </w:r>
      <w:r w:rsidRPr="00C540E2">
        <w:rPr>
          <w:rFonts w:ascii="Times New Roman" w:hAnsi="Times New Roman" w:cs="Times New Roman"/>
          <w:sz w:val="24"/>
          <w:szCs w:val="24"/>
          <w:lang w:val="en-GB" w:eastAsia="lt-LT"/>
        </w:rPr>
        <w:t>echanisms 2014-2021</w:t>
      </w:r>
      <w:r w:rsidR="00056B2E" w:rsidRPr="00C540E2">
        <w:rPr>
          <w:rFonts w:ascii="Times New Roman" w:hAnsi="Times New Roman" w:cs="Times New Roman"/>
          <w:sz w:val="24"/>
          <w:szCs w:val="24"/>
          <w:lang w:val="en-GB" w:eastAsia="lt-LT"/>
        </w:rPr>
        <w:t>.</w:t>
      </w:r>
    </w:p>
    <w:p w14:paraId="7203B9BF" w14:textId="6B572835" w:rsidR="00E105C0" w:rsidRPr="00C540E2" w:rsidRDefault="00F1783E" w:rsidP="00C540E2">
      <w:pPr>
        <w:pStyle w:val="ListParagraph"/>
        <w:numPr>
          <w:ilvl w:val="0"/>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sz w:val="24"/>
          <w:szCs w:val="24"/>
          <w:lang w:val="en-GB" w:eastAsia="lt-LT"/>
        </w:rPr>
        <w:t xml:space="preserve">Other terms </w:t>
      </w:r>
      <w:r w:rsidR="00784027" w:rsidRPr="00C540E2">
        <w:rPr>
          <w:rFonts w:ascii="Times New Roman" w:hAnsi="Times New Roman" w:cs="Times New Roman"/>
          <w:sz w:val="24"/>
          <w:szCs w:val="24"/>
          <w:lang w:val="en-GB" w:eastAsia="lt-LT"/>
        </w:rPr>
        <w:t xml:space="preserve">and abbreviations </w:t>
      </w:r>
      <w:r w:rsidRPr="00C540E2">
        <w:rPr>
          <w:rFonts w:ascii="Times New Roman" w:hAnsi="Times New Roman" w:cs="Times New Roman"/>
          <w:sz w:val="24"/>
          <w:szCs w:val="24"/>
          <w:lang w:val="en-GB" w:eastAsia="lt-LT"/>
        </w:rPr>
        <w:t>used in the Guidelines</w:t>
      </w:r>
      <w:r w:rsidR="00056B2E" w:rsidRPr="00C540E2">
        <w:rPr>
          <w:rFonts w:ascii="Times New Roman" w:hAnsi="Times New Roman" w:cs="Times New Roman"/>
          <w:sz w:val="24"/>
          <w:szCs w:val="24"/>
          <w:lang w:val="en-GB" w:eastAsia="lt-LT"/>
        </w:rPr>
        <w:t>:</w:t>
      </w:r>
    </w:p>
    <w:p w14:paraId="5D0897BF" w14:textId="670828F6" w:rsidR="00E105C0" w:rsidRPr="00C540E2" w:rsidRDefault="00B05552"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b/>
          <w:sz w:val="24"/>
          <w:szCs w:val="24"/>
          <w:lang w:val="en-GB" w:eastAsia="lt-LT"/>
        </w:rPr>
        <w:t xml:space="preserve">Co-financing </w:t>
      </w:r>
      <w:r w:rsidR="0003089B" w:rsidRPr="00C540E2">
        <w:rPr>
          <w:rFonts w:ascii="Times New Roman" w:hAnsi="Times New Roman" w:cs="Times New Roman"/>
          <w:b/>
          <w:sz w:val="24"/>
          <w:szCs w:val="24"/>
          <w:lang w:val="en-GB" w:eastAsia="lt-LT"/>
        </w:rPr>
        <w:t>F</w:t>
      </w:r>
      <w:r w:rsidRPr="00C540E2">
        <w:rPr>
          <w:rFonts w:ascii="Times New Roman" w:hAnsi="Times New Roman" w:cs="Times New Roman"/>
          <w:b/>
          <w:sz w:val="24"/>
          <w:szCs w:val="24"/>
          <w:lang w:val="en-GB" w:eastAsia="lt-LT"/>
        </w:rPr>
        <w:t>unds</w:t>
      </w:r>
      <w:r w:rsidR="00114FF4"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eastAsia="lt-LT"/>
        </w:rPr>
        <w:t>–</w:t>
      </w:r>
      <w:r w:rsidR="00114FF4"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eastAsia="lt-LT"/>
        </w:rPr>
        <w:t>funds of the state budget of the Republic of Lithuania</w:t>
      </w:r>
      <w:r w:rsidR="00114FF4"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eastAsia="lt-LT"/>
        </w:rPr>
        <w:t xml:space="preserve">for financing programmes implemented from EEA and </w:t>
      </w:r>
      <w:r w:rsidR="00784027" w:rsidRPr="00C540E2">
        <w:rPr>
          <w:rFonts w:ascii="Times New Roman" w:hAnsi="Times New Roman" w:cs="Times New Roman"/>
          <w:sz w:val="24"/>
          <w:szCs w:val="24"/>
          <w:lang w:val="en-GB" w:eastAsia="lt-LT"/>
        </w:rPr>
        <w:t xml:space="preserve">(or) </w:t>
      </w:r>
      <w:r w:rsidRPr="00C540E2">
        <w:rPr>
          <w:rFonts w:ascii="Times New Roman" w:hAnsi="Times New Roman" w:cs="Times New Roman"/>
          <w:sz w:val="24"/>
          <w:szCs w:val="24"/>
          <w:lang w:val="en-GB" w:eastAsia="lt-LT"/>
        </w:rPr>
        <w:t>Norwegian financial mechanism</w:t>
      </w:r>
      <w:r w:rsidR="00784027"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eastAsia="lt-LT"/>
        </w:rPr>
        <w:t>funds</w:t>
      </w:r>
      <w:r w:rsidR="000A2964" w:rsidRPr="00C540E2">
        <w:rPr>
          <w:rFonts w:ascii="Times New Roman" w:hAnsi="Times New Roman" w:cs="Times New Roman"/>
          <w:sz w:val="24"/>
          <w:szCs w:val="24"/>
          <w:lang w:val="en-GB" w:eastAsia="lt-LT"/>
        </w:rPr>
        <w:t>.</w:t>
      </w:r>
    </w:p>
    <w:p w14:paraId="20434DB5" w14:textId="0FD1E8AD" w:rsidR="001C4BA6" w:rsidRPr="00C540E2" w:rsidRDefault="00F1783E"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b/>
          <w:bCs/>
          <w:sz w:val="24"/>
          <w:szCs w:val="24"/>
          <w:lang w:val="en-GB" w:eastAsia="lt-LT"/>
        </w:rPr>
        <w:t>CPMA</w:t>
      </w:r>
      <w:r w:rsidR="00FB452A" w:rsidRPr="00C540E2">
        <w:rPr>
          <w:rFonts w:ascii="Times New Roman" w:hAnsi="Times New Roman" w:cs="Times New Roman"/>
          <w:sz w:val="24"/>
          <w:szCs w:val="24"/>
          <w:lang w:val="en-GB" w:eastAsia="lt-LT"/>
        </w:rPr>
        <w:t xml:space="preserve"> – </w:t>
      </w:r>
      <w:r w:rsidRPr="00C540E2">
        <w:rPr>
          <w:rFonts w:ascii="Times New Roman" w:hAnsi="Times New Roman" w:cs="Times New Roman"/>
          <w:sz w:val="24"/>
          <w:szCs w:val="24"/>
          <w:lang w:val="en-GB" w:eastAsia="lt-LT"/>
        </w:rPr>
        <w:t>PI Central Project Management Agency</w:t>
      </w:r>
      <w:r w:rsidR="00FB452A" w:rsidRPr="00C540E2">
        <w:rPr>
          <w:rFonts w:ascii="Times New Roman" w:hAnsi="Times New Roman" w:cs="Times New Roman"/>
          <w:sz w:val="24"/>
          <w:szCs w:val="24"/>
          <w:lang w:val="en-GB" w:eastAsia="lt-LT"/>
        </w:rPr>
        <w:t>.</w:t>
      </w:r>
    </w:p>
    <w:p w14:paraId="4498B155" w14:textId="7D103109" w:rsidR="001C4BA6" w:rsidRPr="00C540E2" w:rsidRDefault="00277F59"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b/>
          <w:bCs/>
          <w:sz w:val="24"/>
          <w:szCs w:val="24"/>
          <w:lang w:val="en-GB" w:eastAsia="lt-LT"/>
        </w:rPr>
        <w:t>Donor Project Partner</w:t>
      </w:r>
      <w:r w:rsidR="00FB452A" w:rsidRPr="00C540E2">
        <w:rPr>
          <w:rFonts w:ascii="Times New Roman" w:hAnsi="Times New Roman" w:cs="Times New Roman"/>
          <w:b/>
          <w:bCs/>
          <w:sz w:val="24"/>
          <w:szCs w:val="24"/>
          <w:lang w:val="en-GB" w:eastAsia="lt-LT"/>
        </w:rPr>
        <w:t xml:space="preserve"> </w:t>
      </w:r>
      <w:r w:rsidR="00440F13" w:rsidRPr="00C540E2">
        <w:rPr>
          <w:rFonts w:ascii="Times New Roman" w:hAnsi="Times New Roman" w:cs="Times New Roman"/>
          <w:sz w:val="24"/>
          <w:szCs w:val="24"/>
          <w:lang w:val="en-GB" w:eastAsia="lt-LT"/>
        </w:rPr>
        <w:t>–</w:t>
      </w:r>
      <w:r w:rsidR="00FB452A" w:rsidRPr="00C540E2">
        <w:rPr>
          <w:rFonts w:ascii="Times New Roman" w:hAnsi="Times New Roman" w:cs="Times New Roman"/>
          <w:sz w:val="24"/>
          <w:szCs w:val="24"/>
          <w:lang w:val="en-GB" w:eastAsia="lt-LT"/>
        </w:rPr>
        <w:t xml:space="preserve"> </w:t>
      </w:r>
      <w:r w:rsidR="00F2603A" w:rsidRPr="00C540E2">
        <w:rPr>
          <w:rFonts w:ascii="Times New Roman" w:hAnsi="Times New Roman" w:cs="Times New Roman"/>
          <w:sz w:val="24"/>
          <w:szCs w:val="24"/>
          <w:lang w:val="en-GB" w:eastAsia="lt-LT"/>
        </w:rPr>
        <w:t>a legal entity</w:t>
      </w:r>
      <w:r w:rsidR="004E0C05" w:rsidRPr="00C540E2">
        <w:rPr>
          <w:rFonts w:ascii="Times New Roman" w:hAnsi="Times New Roman" w:cs="Times New Roman"/>
          <w:sz w:val="24"/>
          <w:szCs w:val="24"/>
          <w:lang w:val="en-GB" w:eastAsia="lt-LT"/>
        </w:rPr>
        <w:t xml:space="preserve"> established as a legal person</w:t>
      </w:r>
      <w:r w:rsidR="00F2603A" w:rsidRPr="00C540E2">
        <w:rPr>
          <w:rFonts w:ascii="Times New Roman" w:hAnsi="Times New Roman" w:cs="Times New Roman"/>
          <w:sz w:val="24"/>
          <w:szCs w:val="24"/>
          <w:lang w:val="en-GB" w:eastAsia="lt-LT"/>
        </w:rPr>
        <w:t xml:space="preserve"> in </w:t>
      </w:r>
      <w:r w:rsidR="004E0C05" w:rsidRPr="00C540E2">
        <w:rPr>
          <w:rFonts w:ascii="Times New Roman" w:hAnsi="Times New Roman" w:cs="Times New Roman"/>
          <w:sz w:val="24"/>
          <w:szCs w:val="24"/>
          <w:lang w:val="en-GB" w:eastAsia="lt-LT"/>
        </w:rPr>
        <w:t>one of the</w:t>
      </w:r>
      <w:r w:rsidR="00F2603A" w:rsidRPr="00C540E2">
        <w:rPr>
          <w:rFonts w:ascii="Times New Roman" w:hAnsi="Times New Roman" w:cs="Times New Roman"/>
          <w:sz w:val="24"/>
          <w:szCs w:val="24"/>
          <w:lang w:val="en-GB" w:eastAsia="lt-LT"/>
        </w:rPr>
        <w:t xml:space="preserve"> Donor State</w:t>
      </w:r>
      <w:r w:rsidR="00683742" w:rsidRPr="00C540E2">
        <w:rPr>
          <w:rFonts w:ascii="Times New Roman" w:hAnsi="Times New Roman" w:cs="Times New Roman"/>
          <w:sz w:val="24"/>
          <w:szCs w:val="24"/>
          <w:lang w:val="en-GB" w:eastAsia="lt-LT"/>
        </w:rPr>
        <w:t>s</w:t>
      </w:r>
      <w:r w:rsidR="00F2603A" w:rsidRPr="00C540E2">
        <w:rPr>
          <w:rFonts w:ascii="Times New Roman" w:hAnsi="Times New Roman" w:cs="Times New Roman"/>
          <w:sz w:val="24"/>
          <w:szCs w:val="24"/>
          <w:lang w:val="en-GB" w:eastAsia="lt-LT"/>
        </w:rPr>
        <w:t xml:space="preserve"> (</w:t>
      </w:r>
      <w:r w:rsidR="001C4BA6" w:rsidRPr="00C540E2">
        <w:rPr>
          <w:rFonts w:ascii="Times New Roman" w:hAnsi="Times New Roman" w:cs="Times New Roman"/>
          <w:sz w:val="24"/>
          <w:szCs w:val="24"/>
          <w:lang w:val="en-GB" w:eastAsia="lt-LT"/>
        </w:rPr>
        <w:t>t</w:t>
      </w:r>
      <w:r w:rsidR="0012370B" w:rsidRPr="00C540E2">
        <w:rPr>
          <w:rFonts w:ascii="Times New Roman" w:hAnsi="Times New Roman" w:cs="Times New Roman"/>
          <w:sz w:val="24"/>
          <w:szCs w:val="24"/>
          <w:lang w:val="en-GB" w:eastAsia="lt-LT"/>
        </w:rPr>
        <w:t>he Republic of Iceland, the Principality of Liechtenstein and the Kingdom of Norway</w:t>
      </w:r>
      <w:r w:rsidR="001C4BA6" w:rsidRPr="00C540E2">
        <w:rPr>
          <w:rFonts w:ascii="Times New Roman" w:hAnsi="Times New Roman" w:cs="Times New Roman"/>
          <w:sz w:val="24"/>
          <w:szCs w:val="24"/>
          <w:lang w:val="en-GB" w:eastAsia="lt-LT"/>
        </w:rPr>
        <w:t xml:space="preserve">, </w:t>
      </w:r>
      <w:r w:rsidR="00F2603A" w:rsidRPr="00C540E2">
        <w:rPr>
          <w:rFonts w:ascii="Times New Roman" w:hAnsi="Times New Roman" w:cs="Times New Roman"/>
          <w:sz w:val="24"/>
          <w:szCs w:val="24"/>
          <w:lang w:val="en-GB" w:eastAsia="lt-LT"/>
        </w:rPr>
        <w:t>which is actively involved in the preparation of a project application</w:t>
      </w:r>
      <w:r w:rsidR="001C4BA6" w:rsidRPr="00C540E2">
        <w:rPr>
          <w:rFonts w:ascii="Times New Roman" w:hAnsi="Times New Roman" w:cs="Times New Roman"/>
          <w:sz w:val="24"/>
          <w:szCs w:val="24"/>
          <w:lang w:val="en-GB" w:eastAsia="lt-LT"/>
        </w:rPr>
        <w:t xml:space="preserve"> </w:t>
      </w:r>
      <w:r w:rsidR="00F2603A" w:rsidRPr="00C540E2">
        <w:rPr>
          <w:rFonts w:ascii="Times New Roman" w:hAnsi="Times New Roman" w:cs="Times New Roman"/>
          <w:sz w:val="24"/>
          <w:szCs w:val="24"/>
          <w:lang w:val="en-GB" w:eastAsia="lt-LT"/>
        </w:rPr>
        <w:t xml:space="preserve">and contributes to the implementation of the project on the basis of a partnership agreement signed with the </w:t>
      </w:r>
      <w:r w:rsidR="00CD36DC" w:rsidRPr="00C540E2">
        <w:rPr>
          <w:rFonts w:ascii="Times New Roman" w:hAnsi="Times New Roman" w:cs="Times New Roman"/>
          <w:sz w:val="24"/>
          <w:szCs w:val="24"/>
          <w:lang w:val="en-GB" w:eastAsia="lt-LT"/>
        </w:rPr>
        <w:t>P</w:t>
      </w:r>
      <w:r w:rsidR="00F2603A" w:rsidRPr="00C540E2">
        <w:rPr>
          <w:rFonts w:ascii="Times New Roman" w:hAnsi="Times New Roman" w:cs="Times New Roman"/>
          <w:sz w:val="24"/>
          <w:szCs w:val="24"/>
          <w:lang w:val="en-GB" w:eastAsia="lt-LT"/>
        </w:rPr>
        <w:t xml:space="preserve">roject </w:t>
      </w:r>
      <w:r w:rsidR="00CD36DC" w:rsidRPr="00C540E2">
        <w:rPr>
          <w:rFonts w:ascii="Times New Roman" w:hAnsi="Times New Roman" w:cs="Times New Roman"/>
          <w:sz w:val="24"/>
          <w:szCs w:val="24"/>
          <w:lang w:val="en-GB" w:eastAsia="lt-LT"/>
        </w:rPr>
        <w:t>P</w:t>
      </w:r>
      <w:r w:rsidR="00F2603A" w:rsidRPr="00C540E2">
        <w:rPr>
          <w:rFonts w:ascii="Times New Roman" w:hAnsi="Times New Roman" w:cs="Times New Roman"/>
          <w:sz w:val="24"/>
          <w:szCs w:val="24"/>
          <w:lang w:val="en-GB" w:eastAsia="lt-LT"/>
        </w:rPr>
        <w:t>romoter</w:t>
      </w:r>
      <w:r w:rsidR="00FB452A" w:rsidRPr="00C540E2">
        <w:rPr>
          <w:rFonts w:ascii="Times New Roman" w:hAnsi="Times New Roman" w:cs="Times New Roman"/>
          <w:sz w:val="24"/>
          <w:szCs w:val="24"/>
          <w:lang w:val="en-GB" w:eastAsia="lt-LT"/>
        </w:rPr>
        <w:t>.</w:t>
      </w:r>
    </w:p>
    <w:p w14:paraId="47554075" w14:textId="4C9B2ECB" w:rsidR="001C4BA6" w:rsidRPr="00C540E2" w:rsidRDefault="00FB452A"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C540E2">
        <w:rPr>
          <w:rFonts w:ascii="Times New Roman" w:hAnsi="Times New Roman" w:cs="Times New Roman"/>
          <w:b/>
          <w:bCs/>
          <w:sz w:val="24"/>
          <w:szCs w:val="24"/>
          <w:lang w:val="en-GB" w:eastAsia="lt-LT"/>
        </w:rPr>
        <w:t>DMS</w:t>
      </w:r>
      <w:r w:rsidRPr="00C540E2">
        <w:rPr>
          <w:rFonts w:ascii="Times New Roman" w:hAnsi="Times New Roman" w:cs="Times New Roman"/>
          <w:sz w:val="24"/>
          <w:szCs w:val="24"/>
          <w:lang w:val="en-GB" w:eastAsia="lt-LT"/>
        </w:rPr>
        <w:t xml:space="preserve"> </w:t>
      </w:r>
      <w:r w:rsidR="006C5EFB" w:rsidRPr="00C540E2">
        <w:rPr>
          <w:rFonts w:ascii="Times New Roman" w:hAnsi="Times New Roman" w:cs="Times New Roman"/>
          <w:sz w:val="24"/>
          <w:szCs w:val="24"/>
          <w:lang w:val="en-GB" w:eastAsia="lt-LT"/>
        </w:rPr>
        <w:t>–</w:t>
      </w:r>
      <w:r w:rsidR="001C4BA6" w:rsidRPr="00C540E2">
        <w:rPr>
          <w:rFonts w:ascii="Times New Roman" w:hAnsi="Times New Roman" w:cs="Times New Roman"/>
          <w:sz w:val="24"/>
          <w:szCs w:val="24"/>
          <w:lang w:val="en-GB" w:eastAsia="lt-LT"/>
        </w:rPr>
        <w:t xml:space="preserve"> </w:t>
      </w:r>
      <w:r w:rsidR="006C5EFB" w:rsidRPr="00C540E2">
        <w:rPr>
          <w:rFonts w:ascii="Times New Roman" w:hAnsi="Times New Roman" w:cs="Times New Roman"/>
          <w:sz w:val="24"/>
          <w:szCs w:val="24"/>
          <w:lang w:val="en-GB" w:eastAsia="lt-LT"/>
        </w:rPr>
        <w:t xml:space="preserve">site for the exchange of project data of </w:t>
      </w:r>
      <w:r w:rsidRPr="00C540E2">
        <w:rPr>
          <w:rFonts w:ascii="Times New Roman" w:hAnsi="Times New Roman" w:cs="Times New Roman"/>
          <w:sz w:val="24"/>
          <w:szCs w:val="24"/>
          <w:lang w:val="en-GB" w:eastAsia="lt-LT"/>
        </w:rPr>
        <w:t>EE</w:t>
      </w:r>
      <w:r w:rsidR="006C5EFB" w:rsidRPr="00C540E2">
        <w:rPr>
          <w:rFonts w:ascii="Times New Roman" w:hAnsi="Times New Roman" w:cs="Times New Roman"/>
          <w:sz w:val="24"/>
          <w:szCs w:val="24"/>
          <w:lang w:val="en-GB" w:eastAsia="lt-LT"/>
        </w:rPr>
        <w:t>A and Norwegian financial mechanisms 2014-2021</w:t>
      </w:r>
      <w:r w:rsidRPr="00C540E2">
        <w:rPr>
          <w:rFonts w:ascii="Times New Roman" w:hAnsi="Times New Roman" w:cs="Times New Roman"/>
          <w:sz w:val="24"/>
          <w:szCs w:val="24"/>
          <w:lang w:val="en-GB" w:eastAsia="lt-LT"/>
        </w:rPr>
        <w:t>.</w:t>
      </w:r>
    </w:p>
    <w:p w14:paraId="25AC8DC2" w14:textId="77777777" w:rsidR="00273FB4" w:rsidRPr="00C540E2" w:rsidRDefault="00F1783E" w:rsidP="00C540E2">
      <w:pPr>
        <w:pStyle w:val="ListParagraph"/>
        <w:numPr>
          <w:ilvl w:val="1"/>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eastAsia="lt-LT"/>
        </w:rPr>
        <w:t>EEA</w:t>
      </w:r>
      <w:r w:rsidR="00FB452A"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eastAsia="lt-LT"/>
        </w:rPr>
        <w:t>–</w:t>
      </w:r>
      <w:r w:rsidR="00FB452A" w:rsidRPr="00C540E2">
        <w:rPr>
          <w:rFonts w:ascii="Times New Roman" w:hAnsi="Times New Roman" w:cs="Times New Roman"/>
          <w:sz w:val="24"/>
          <w:szCs w:val="24"/>
          <w:lang w:val="en-GB" w:eastAsia="lt-LT"/>
        </w:rPr>
        <w:t xml:space="preserve"> </w:t>
      </w:r>
      <w:r w:rsidRPr="00C540E2">
        <w:rPr>
          <w:rFonts w:ascii="Times New Roman" w:hAnsi="Times New Roman" w:cs="Times New Roman"/>
          <w:sz w:val="24"/>
          <w:szCs w:val="24"/>
          <w:lang w:val="en-GB"/>
        </w:rPr>
        <w:t>European Economic Area</w:t>
      </w:r>
      <w:r w:rsidR="00FB452A" w:rsidRPr="00C540E2">
        <w:rPr>
          <w:rFonts w:ascii="Times New Roman" w:hAnsi="Times New Roman" w:cs="Times New Roman"/>
          <w:sz w:val="24"/>
          <w:szCs w:val="24"/>
          <w:lang w:val="en-GB"/>
        </w:rPr>
        <w:t>.</w:t>
      </w:r>
    </w:p>
    <w:p w14:paraId="18716CCC" w14:textId="77777777" w:rsidR="00273FB4" w:rsidRPr="00C540E2" w:rsidRDefault="00273FB4" w:rsidP="00C540E2">
      <w:pPr>
        <w:pStyle w:val="ListParagraph"/>
        <w:numPr>
          <w:ilvl w:val="1"/>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b/>
          <w:sz w:val="24"/>
          <w:szCs w:val="24"/>
          <w:lang w:val="en-GB"/>
        </w:rPr>
        <w:t xml:space="preserve">Young person (youth) - </w:t>
      </w:r>
      <w:r w:rsidRPr="00C540E2">
        <w:rPr>
          <w:rFonts w:ascii="Times New Roman" w:hAnsi="Times New Roman" w:cs="Times New Roman"/>
          <w:sz w:val="24"/>
          <w:szCs w:val="24"/>
          <w:lang w:val="en-GB"/>
        </w:rPr>
        <w:t>a person between the ages of 14-29 years (inclusive).</w:t>
      </w:r>
    </w:p>
    <w:p w14:paraId="37648304" w14:textId="77777777" w:rsidR="00273FB4" w:rsidRPr="00C540E2" w:rsidRDefault="00273FB4" w:rsidP="00C540E2">
      <w:pPr>
        <w:pStyle w:val="ListParagraph"/>
        <w:numPr>
          <w:ilvl w:val="1"/>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b/>
          <w:sz w:val="24"/>
          <w:szCs w:val="24"/>
          <w:lang w:val="en-GB"/>
        </w:rPr>
        <w:t xml:space="preserve">Youth organization </w:t>
      </w:r>
      <w:r w:rsidRPr="00C540E2">
        <w:rPr>
          <w:rFonts w:ascii="Times New Roman" w:hAnsi="Times New Roman" w:cs="Times New Roman"/>
          <w:sz w:val="24"/>
          <w:szCs w:val="24"/>
          <w:lang w:val="en-GB"/>
        </w:rPr>
        <w:t>- an association registered in accordance with the procedure established by laws and other legal acts, of which at least two-thirds of the members are young people and/or which includes at least two-thirds of the associations, of which at least two-thirds of the members are young people.</w:t>
      </w:r>
    </w:p>
    <w:p w14:paraId="13BFE0E4" w14:textId="1CB719C6" w:rsidR="00273FB4" w:rsidRPr="00C540E2" w:rsidRDefault="00273FB4" w:rsidP="00C540E2">
      <w:pPr>
        <w:pStyle w:val="ListParagraph"/>
        <w:numPr>
          <w:ilvl w:val="1"/>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b/>
          <w:sz w:val="24"/>
          <w:szCs w:val="24"/>
          <w:lang w:val="en-GB"/>
        </w:rPr>
        <w:t xml:space="preserve">Youth friendly healthcare services (hereinafter – YFHCSs) </w:t>
      </w:r>
      <w:r w:rsidRPr="00C540E2">
        <w:rPr>
          <w:rFonts w:ascii="Times New Roman" w:hAnsi="Times New Roman" w:cs="Times New Roman"/>
          <w:sz w:val="24"/>
          <w:szCs w:val="24"/>
          <w:lang w:val="en-GB"/>
        </w:rPr>
        <w:t xml:space="preserve">- complex health services, including health promotion, prevention, treatment, monitoring and consulting, that meet the </w:t>
      </w:r>
      <w:r w:rsidRPr="00C540E2">
        <w:rPr>
          <w:rFonts w:ascii="Times New Roman" w:hAnsi="Times New Roman" w:cs="Times New Roman"/>
          <w:sz w:val="24"/>
          <w:szCs w:val="24"/>
          <w:lang w:val="en-GB"/>
        </w:rPr>
        <w:lastRenderedPageBreak/>
        <w:t>needs of young people and comply with the following criteria specified by the World Health Organization (WHO):</w:t>
      </w:r>
    </w:p>
    <w:p w14:paraId="4EBD51A4" w14:textId="77777777" w:rsidR="00273FB4" w:rsidRPr="00C540E2" w:rsidRDefault="00273FB4" w:rsidP="00C540E2">
      <w:pPr>
        <w:pStyle w:val="ListParagraph"/>
        <w:numPr>
          <w:ilvl w:val="0"/>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0B9D14D3"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0FA70AB7"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02D3040E"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1FC2E21C"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6340BCA9"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23D0CFF7"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183BAC19"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4BF45D91" w14:textId="77777777" w:rsidR="00273FB4" w:rsidRPr="00C540E2" w:rsidRDefault="00273FB4" w:rsidP="00C540E2">
      <w:pPr>
        <w:pStyle w:val="ListParagraph"/>
        <w:numPr>
          <w:ilvl w:val="1"/>
          <w:numId w:val="10"/>
        </w:numPr>
        <w:tabs>
          <w:tab w:val="left" w:pos="567"/>
          <w:tab w:val="left" w:pos="1134"/>
        </w:tabs>
        <w:spacing w:after="120" w:line="240" w:lineRule="auto"/>
        <w:jc w:val="both"/>
        <w:rPr>
          <w:rFonts w:ascii="Times New Roman" w:hAnsi="Times New Roman" w:cs="Times New Roman"/>
          <w:vanish/>
          <w:sz w:val="24"/>
          <w:szCs w:val="24"/>
          <w:lang w:val="en-GB"/>
        </w:rPr>
      </w:pPr>
    </w:p>
    <w:p w14:paraId="432347F8" w14:textId="4445FC7F"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accessibility - accessible to young people - free or affordable services, fast and convenient registration, or without registration, short waiting time from registration to the moment of providing the service;</w:t>
      </w:r>
    </w:p>
    <w:p w14:paraId="3B8CD753" w14:textId="77777777"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non-discrimination;</w:t>
      </w:r>
    </w:p>
    <w:p w14:paraId="252D6A03" w14:textId="77777777"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confidentiality and privacy;</w:t>
      </w:r>
    </w:p>
    <w:p w14:paraId="5A48CD47" w14:textId="77777777"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consistency with the needs - services are consistent with the physical, social and psychological needs of each young person's health and development;</w:t>
      </w:r>
    </w:p>
    <w:p w14:paraId="35F814FB" w14:textId="77777777"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competence – services are provided by competent staff;</w:t>
      </w:r>
    </w:p>
    <w:p w14:paraId="0949A226" w14:textId="77777777" w:rsidR="00273FB4" w:rsidRPr="00C540E2" w:rsidRDefault="00273FB4" w:rsidP="00C540E2">
      <w:pPr>
        <w:pStyle w:val="ListParagraph"/>
        <w:numPr>
          <w:ilvl w:val="2"/>
          <w:numId w:val="10"/>
        </w:numPr>
        <w:tabs>
          <w:tab w:val="left" w:pos="567"/>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safety – </w:t>
      </w:r>
      <w:bookmarkStart w:id="1" w:name="_Hlk35500289"/>
      <w:r w:rsidRPr="00C540E2">
        <w:rPr>
          <w:rFonts w:ascii="Times New Roman" w:hAnsi="Times New Roman" w:cs="Times New Roman"/>
          <w:sz w:val="24"/>
          <w:szCs w:val="24"/>
          <w:lang w:val="en-GB"/>
        </w:rPr>
        <w:t xml:space="preserve">a safe environment that meets the needs of young people. </w:t>
      </w:r>
    </w:p>
    <w:bookmarkEnd w:id="1"/>
    <w:p w14:paraId="2E8F3136" w14:textId="77777777" w:rsidR="00273FB4" w:rsidRPr="00C540E2" w:rsidRDefault="00273FB4"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sz w:val="24"/>
          <w:szCs w:val="24"/>
          <w:lang w:val="en-GB"/>
        </w:rPr>
        <w:t xml:space="preserve">YFHCSs provision model (hereinafter – the Model) - </w:t>
      </w:r>
      <w:r w:rsidRPr="00C540E2">
        <w:rPr>
          <w:rFonts w:ascii="Times New Roman" w:hAnsi="Times New Roman" w:cs="Times New Roman"/>
          <w:sz w:val="24"/>
          <w:szCs w:val="24"/>
          <w:lang w:val="en-GB"/>
        </w:rPr>
        <w:t>a set of provisions, structures and functions that meets the WHO criteria for the provision of YFHCS, good practice recommendations, the vision, principles, objectives and tasks of the YFHCSs system which are raised in providing youth-friendly health promotion, prevention, treatment, monitoring and consulting services, the provision of which must comply with the highest requirements for the organization of services provision, quality assurance, management and financing.</w:t>
      </w:r>
      <w:bookmarkStart w:id="2" w:name="_Hlk18086070"/>
    </w:p>
    <w:p w14:paraId="58A9593C" w14:textId="77777777" w:rsidR="00273FB4" w:rsidRPr="009A0266" w:rsidRDefault="00C44A3D"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9A0266">
        <w:rPr>
          <w:rFonts w:ascii="Times New Roman" w:hAnsi="Times New Roman" w:cs="Times New Roman"/>
          <w:b/>
          <w:sz w:val="24"/>
          <w:szCs w:val="24"/>
          <w:lang w:val="en-GB"/>
        </w:rPr>
        <w:t>MAFR</w:t>
      </w:r>
      <w:r w:rsidRPr="009A0266">
        <w:rPr>
          <w:rFonts w:ascii="Times New Roman" w:hAnsi="Times New Roman" w:cs="Times New Roman"/>
          <w:sz w:val="24"/>
          <w:szCs w:val="24"/>
          <w:lang w:val="en-GB"/>
        </w:rPr>
        <w:t xml:space="preserve"> - Rules of Administration and Financing of EEA and Norwegian Financial Mechanisms 2014-2021, approved by the Order No. 1K-389 of the Minister of Finance of the Republic of Lithuania of 12 November 2018;</w:t>
      </w:r>
    </w:p>
    <w:p w14:paraId="211BE295" w14:textId="77777777" w:rsidR="00273FB4" w:rsidRPr="00C540E2" w:rsidRDefault="00F1783E"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Mechanism Funds</w:t>
      </w:r>
      <w:r w:rsidR="001448BE" w:rsidRPr="00C540E2">
        <w:rPr>
          <w:rFonts w:ascii="Times New Roman" w:hAnsi="Times New Roman" w:cs="Times New Roman"/>
          <w:bCs/>
          <w:sz w:val="24"/>
          <w:szCs w:val="24"/>
          <w:lang w:val="en-GB"/>
        </w:rPr>
        <w:t xml:space="preserve"> – </w:t>
      </w:r>
      <w:r w:rsidRPr="00C540E2">
        <w:rPr>
          <w:rFonts w:ascii="Times New Roman" w:hAnsi="Times New Roman" w:cs="Times New Roman"/>
          <w:bCs/>
          <w:sz w:val="24"/>
          <w:szCs w:val="24"/>
          <w:lang w:val="en-GB"/>
        </w:rPr>
        <w:t xml:space="preserve">funds of EEA mechanism </w:t>
      </w:r>
      <w:r w:rsidR="001448BE" w:rsidRPr="00C540E2">
        <w:rPr>
          <w:rFonts w:ascii="Times New Roman" w:hAnsi="Times New Roman" w:cs="Times New Roman"/>
          <w:bCs/>
          <w:sz w:val="24"/>
          <w:szCs w:val="24"/>
          <w:lang w:val="en-GB"/>
        </w:rPr>
        <w:t>2014-2021;</w:t>
      </w:r>
      <w:bookmarkEnd w:id="2"/>
    </w:p>
    <w:p w14:paraId="72B5ECA1" w14:textId="77777777" w:rsidR="00273FB4" w:rsidRPr="00C540E2" w:rsidRDefault="002F12F9"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Applicant</w:t>
      </w:r>
      <w:r w:rsidR="00FB452A"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w:t>
      </w:r>
      <w:r w:rsidR="00FB452A"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a legal entity registered in Lithuania having submitted a project application</w:t>
      </w:r>
      <w:r w:rsidR="00FB452A"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 xml:space="preserve">After signing a project </w:t>
      </w:r>
      <w:r w:rsidR="0081545D" w:rsidRPr="00C540E2">
        <w:rPr>
          <w:rFonts w:ascii="Times New Roman" w:hAnsi="Times New Roman" w:cs="Times New Roman"/>
          <w:sz w:val="24"/>
          <w:szCs w:val="24"/>
          <w:lang w:val="en-GB"/>
        </w:rPr>
        <w:t>contract</w:t>
      </w:r>
      <w:r w:rsidRPr="00C540E2">
        <w:rPr>
          <w:rFonts w:ascii="Times New Roman" w:hAnsi="Times New Roman" w:cs="Times New Roman"/>
          <w:sz w:val="24"/>
          <w:szCs w:val="24"/>
          <w:lang w:val="en-GB"/>
        </w:rPr>
        <w:t>, the Applicant becomes a Project Promoter</w:t>
      </w:r>
      <w:r w:rsidR="00FB452A" w:rsidRPr="00C540E2">
        <w:rPr>
          <w:rFonts w:ascii="Times New Roman" w:hAnsi="Times New Roman" w:cs="Times New Roman"/>
          <w:sz w:val="24"/>
          <w:szCs w:val="24"/>
          <w:lang w:val="en-GB"/>
        </w:rPr>
        <w:t>.</w:t>
      </w:r>
      <w:bookmarkStart w:id="3" w:name="_Hlk18086092"/>
    </w:p>
    <w:p w14:paraId="6DA8EAC2" w14:textId="77777777" w:rsidR="00273FB4" w:rsidRPr="00C540E2" w:rsidRDefault="002F12F9"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Process Working Group</w:t>
      </w:r>
      <w:r w:rsidR="00063A27" w:rsidRPr="00C540E2">
        <w:rPr>
          <w:rFonts w:ascii="Times New Roman" w:hAnsi="Times New Roman" w:cs="Times New Roman"/>
          <w:b/>
          <w:bCs/>
          <w:sz w:val="24"/>
          <w:szCs w:val="24"/>
          <w:lang w:val="en-GB"/>
        </w:rPr>
        <w:t xml:space="preserve"> </w:t>
      </w:r>
      <w:r w:rsidRPr="00C540E2">
        <w:rPr>
          <w:rFonts w:ascii="Times New Roman" w:hAnsi="Times New Roman" w:cs="Times New Roman"/>
          <w:sz w:val="24"/>
          <w:szCs w:val="24"/>
          <w:lang w:val="en-GB"/>
        </w:rPr>
        <w:t>– a working group for the establishment of processes of administration of EEA and Norwegian financial mechanisms, set up by Order No</w:t>
      </w:r>
      <w:r w:rsidR="0003089B"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 1K-109 of the Minister of Finance of the Republic of Lithuania of 8 March 2018 “Regarding the Formation of a Working Group”</w:t>
      </w:r>
      <w:r w:rsidR="00063A27" w:rsidRPr="00C540E2">
        <w:rPr>
          <w:rFonts w:ascii="Times New Roman" w:hAnsi="Times New Roman" w:cs="Times New Roman"/>
          <w:bCs/>
          <w:sz w:val="24"/>
          <w:szCs w:val="24"/>
          <w:lang w:val="en-GB"/>
        </w:rPr>
        <w:t>;</w:t>
      </w:r>
      <w:bookmarkEnd w:id="3"/>
    </w:p>
    <w:p w14:paraId="1F69EAB9" w14:textId="77777777" w:rsidR="00273FB4" w:rsidRPr="00C540E2" w:rsidRDefault="00F924D1"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Project Partner</w:t>
      </w:r>
      <w:r w:rsidR="005E5E21" w:rsidRPr="00C540E2">
        <w:rPr>
          <w:rFonts w:ascii="Times New Roman" w:hAnsi="Times New Roman" w:cs="Times New Roman"/>
          <w:sz w:val="24"/>
          <w:szCs w:val="24"/>
          <w:lang w:val="en-GB"/>
        </w:rPr>
        <w:t xml:space="preserve"> </w:t>
      </w:r>
      <w:r w:rsidR="00FB452A"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 xml:space="preserve">a legal </w:t>
      </w:r>
      <w:r w:rsidR="004B380B" w:rsidRPr="00C540E2">
        <w:rPr>
          <w:rFonts w:ascii="Times New Roman" w:hAnsi="Times New Roman" w:cs="Times New Roman"/>
          <w:sz w:val="24"/>
          <w:szCs w:val="24"/>
          <w:lang w:val="en-GB"/>
        </w:rPr>
        <w:t>person</w:t>
      </w:r>
      <w:r w:rsidRPr="00C540E2">
        <w:rPr>
          <w:rFonts w:ascii="Times New Roman" w:hAnsi="Times New Roman" w:cs="Times New Roman"/>
          <w:sz w:val="24"/>
          <w:szCs w:val="24"/>
          <w:lang w:val="en-GB"/>
        </w:rPr>
        <w:t xml:space="preserve"> registered in Lithuania</w:t>
      </w:r>
      <w:r w:rsidR="00093F16" w:rsidRPr="00C540E2">
        <w:rPr>
          <w:rFonts w:ascii="Times New Roman" w:hAnsi="Times New Roman" w:cs="Times New Roman"/>
          <w:sz w:val="24"/>
          <w:szCs w:val="24"/>
          <w:lang w:val="en-GB"/>
        </w:rPr>
        <w:t xml:space="preserve"> or in one of Donor states</w:t>
      </w:r>
      <w:r w:rsidR="00132151"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 actively involved in the preparation of </w:t>
      </w:r>
      <w:r w:rsidR="0003089B"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 project application and contributing to the implementation of the project on the basis of a partnership agreement signed with the </w:t>
      </w:r>
      <w:r w:rsidR="00CD36DC" w:rsidRPr="00C540E2">
        <w:rPr>
          <w:rFonts w:ascii="Times New Roman" w:hAnsi="Times New Roman" w:cs="Times New Roman"/>
          <w:sz w:val="24"/>
          <w:szCs w:val="24"/>
          <w:lang w:val="en-GB"/>
        </w:rPr>
        <w:t>P</w:t>
      </w:r>
      <w:r w:rsidRPr="00C540E2">
        <w:rPr>
          <w:rFonts w:ascii="Times New Roman" w:hAnsi="Times New Roman" w:cs="Times New Roman"/>
          <w:sz w:val="24"/>
          <w:szCs w:val="24"/>
          <w:lang w:val="en-GB"/>
        </w:rPr>
        <w:t xml:space="preserve">roject </w:t>
      </w:r>
      <w:r w:rsidR="00CD36DC" w:rsidRPr="00C540E2">
        <w:rPr>
          <w:rFonts w:ascii="Times New Roman" w:hAnsi="Times New Roman" w:cs="Times New Roman"/>
          <w:sz w:val="24"/>
          <w:szCs w:val="24"/>
          <w:lang w:val="en-GB"/>
        </w:rPr>
        <w:t>P</w:t>
      </w:r>
      <w:r w:rsidRPr="00C540E2">
        <w:rPr>
          <w:rFonts w:ascii="Times New Roman" w:hAnsi="Times New Roman" w:cs="Times New Roman"/>
          <w:sz w:val="24"/>
          <w:szCs w:val="24"/>
          <w:lang w:val="en-GB"/>
        </w:rPr>
        <w:t>romoter</w:t>
      </w:r>
      <w:r w:rsidR="00FB452A" w:rsidRPr="00C540E2">
        <w:rPr>
          <w:rFonts w:ascii="Times New Roman" w:hAnsi="Times New Roman" w:cs="Times New Roman"/>
          <w:sz w:val="24"/>
          <w:szCs w:val="24"/>
          <w:lang w:val="en-GB"/>
        </w:rPr>
        <w:t>.</w:t>
      </w:r>
    </w:p>
    <w:p w14:paraId="748C27E8" w14:textId="77777777" w:rsidR="00273FB4" w:rsidRPr="00C540E2" w:rsidRDefault="008153F6"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Project Promoter</w:t>
      </w:r>
      <w:r w:rsidR="00FB452A" w:rsidRPr="00C540E2">
        <w:rPr>
          <w:rFonts w:ascii="Times New Roman" w:hAnsi="Times New Roman" w:cs="Times New Roman"/>
          <w:sz w:val="24"/>
          <w:szCs w:val="24"/>
          <w:lang w:val="en-GB"/>
        </w:rPr>
        <w:t xml:space="preserve"> – </w:t>
      </w:r>
      <w:r w:rsidRPr="00C540E2">
        <w:rPr>
          <w:rFonts w:ascii="Times New Roman" w:hAnsi="Times New Roman" w:cs="Times New Roman"/>
          <w:sz w:val="24"/>
          <w:szCs w:val="24"/>
          <w:lang w:val="en-GB"/>
        </w:rPr>
        <w:t xml:space="preserve">a legal entity registered in Lithuania </w:t>
      </w:r>
      <w:r w:rsidR="00C51403" w:rsidRPr="00C540E2">
        <w:rPr>
          <w:rFonts w:ascii="Times New Roman" w:hAnsi="Times New Roman" w:cs="Times New Roman"/>
          <w:sz w:val="24"/>
          <w:szCs w:val="24"/>
          <w:lang w:val="en-GB"/>
        </w:rPr>
        <w:t xml:space="preserve">to which mechanism, co-financing funds are allocated and which, on a basis of a contract signed with the CPMA, is responsible for the implementation of the project selected </w:t>
      </w:r>
      <w:r w:rsidRPr="00C540E2">
        <w:rPr>
          <w:rFonts w:ascii="Times New Roman" w:hAnsi="Times New Roman" w:cs="Times New Roman"/>
          <w:sz w:val="24"/>
          <w:szCs w:val="24"/>
          <w:lang w:val="en-GB"/>
        </w:rPr>
        <w:t>under the call "</w:t>
      </w:r>
      <w:r w:rsidR="00093F16" w:rsidRPr="00C540E2">
        <w:rPr>
          <w:rFonts w:ascii="Times New Roman" w:hAnsi="Times New Roman" w:cs="Times New Roman"/>
          <w:b/>
          <w:bCs/>
          <w:sz w:val="24"/>
          <w:szCs w:val="24"/>
          <w:lang w:val="en-GB"/>
        </w:rPr>
        <w:t xml:space="preserve"> </w:t>
      </w:r>
      <w:r w:rsidR="00093F16" w:rsidRPr="00C540E2">
        <w:rPr>
          <w:rFonts w:ascii="Times New Roman" w:hAnsi="Times New Roman" w:cs="Times New Roman"/>
          <w:bCs/>
          <w:sz w:val="24"/>
          <w:szCs w:val="24"/>
          <w:lang w:val="en-GB"/>
        </w:rPr>
        <w:t>Provision of health offices in pre-schools and schools with methodological tools</w:t>
      </w:r>
      <w:r w:rsidRPr="00C540E2">
        <w:rPr>
          <w:rFonts w:ascii="Times New Roman" w:hAnsi="Times New Roman" w:cs="Times New Roman"/>
          <w:sz w:val="24"/>
          <w:szCs w:val="24"/>
          <w:lang w:val="en-GB"/>
        </w:rPr>
        <w:t>"</w:t>
      </w:r>
      <w:r w:rsidR="00C51403"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 </w:t>
      </w:r>
    </w:p>
    <w:p w14:paraId="3EFC168F" w14:textId="0ACBFB05" w:rsidR="00273FB4" w:rsidRPr="00C540E2" w:rsidRDefault="004F4A8D"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Programme</w:t>
      </w:r>
      <w:r w:rsidR="00FB452A" w:rsidRPr="00C540E2">
        <w:rPr>
          <w:rFonts w:ascii="Times New Roman" w:hAnsi="Times New Roman" w:cs="Times New Roman"/>
          <w:sz w:val="24"/>
          <w:szCs w:val="24"/>
          <w:lang w:val="en-GB"/>
        </w:rPr>
        <w:t xml:space="preserve"> – </w:t>
      </w:r>
      <w:r w:rsidRPr="00C540E2">
        <w:rPr>
          <w:rFonts w:ascii="Times New Roman" w:hAnsi="Times New Roman" w:cs="Times New Roman"/>
          <w:sz w:val="24"/>
          <w:szCs w:val="24"/>
          <w:lang w:val="en-GB"/>
        </w:rPr>
        <w:t>EEA financial mechanism programme “</w:t>
      </w:r>
      <w:r w:rsidR="00093F16" w:rsidRPr="00C540E2">
        <w:rPr>
          <w:rFonts w:ascii="Times New Roman" w:hAnsi="Times New Roman" w:cs="Times New Roman"/>
          <w:sz w:val="24"/>
          <w:szCs w:val="24"/>
          <w:lang w:val="en-GB"/>
        </w:rPr>
        <w:t>Health</w:t>
      </w:r>
      <w:r w:rsidRPr="00C540E2">
        <w:rPr>
          <w:rFonts w:ascii="Times New Roman" w:hAnsi="Times New Roman" w:cs="Times New Roman"/>
          <w:sz w:val="24"/>
          <w:szCs w:val="24"/>
          <w:lang w:val="en-GB"/>
        </w:rPr>
        <w:t xml:space="preserve">” </w:t>
      </w:r>
      <w:r w:rsidR="00FB452A" w:rsidRPr="00C540E2">
        <w:rPr>
          <w:rFonts w:ascii="Times New Roman" w:hAnsi="Times New Roman" w:cs="Times New Roman"/>
          <w:sz w:val="24"/>
          <w:szCs w:val="24"/>
          <w:lang w:val="en-GB"/>
        </w:rPr>
        <w:t>2014-2021 (</w:t>
      </w:r>
      <w:r w:rsidRPr="00C540E2">
        <w:rPr>
          <w:rFonts w:ascii="Times New Roman" w:hAnsi="Times New Roman" w:cs="Times New Roman"/>
          <w:sz w:val="24"/>
          <w:szCs w:val="24"/>
          <w:lang w:val="en-GB"/>
        </w:rPr>
        <w:t xml:space="preserve">hereinafter also referred to as the </w:t>
      </w:r>
      <w:r w:rsidR="00093F16" w:rsidRPr="00C540E2">
        <w:rPr>
          <w:rFonts w:ascii="Times New Roman" w:hAnsi="Times New Roman" w:cs="Times New Roman"/>
          <w:sz w:val="24"/>
          <w:szCs w:val="24"/>
          <w:lang w:val="en-GB"/>
        </w:rPr>
        <w:t xml:space="preserve">Health </w:t>
      </w:r>
      <w:r w:rsidRPr="00C540E2">
        <w:rPr>
          <w:rFonts w:ascii="Times New Roman" w:hAnsi="Times New Roman" w:cs="Times New Roman"/>
          <w:sz w:val="24"/>
          <w:szCs w:val="24"/>
          <w:lang w:val="en-GB"/>
        </w:rPr>
        <w:t>Programme</w:t>
      </w:r>
      <w:r w:rsidR="00FB452A" w:rsidRPr="00C540E2">
        <w:rPr>
          <w:rFonts w:ascii="Times New Roman" w:hAnsi="Times New Roman" w:cs="Times New Roman"/>
          <w:sz w:val="24"/>
          <w:szCs w:val="24"/>
          <w:lang w:val="en-GB"/>
        </w:rPr>
        <w:t>).</w:t>
      </w:r>
      <w:bookmarkStart w:id="4" w:name="_Hlk18086184"/>
    </w:p>
    <w:p w14:paraId="4C6FD9C8" w14:textId="58C3C874" w:rsidR="00936041" w:rsidRPr="00C540E2" w:rsidRDefault="004353E6"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bCs/>
          <w:sz w:val="24"/>
          <w:szCs w:val="24"/>
          <w:lang w:val="en-GB"/>
        </w:rPr>
        <w:t xml:space="preserve">Market </w:t>
      </w:r>
      <w:r w:rsidR="00DE2785" w:rsidRPr="00C540E2">
        <w:rPr>
          <w:rFonts w:ascii="Times New Roman" w:hAnsi="Times New Roman" w:cs="Times New Roman"/>
          <w:b/>
          <w:bCs/>
          <w:sz w:val="24"/>
          <w:szCs w:val="24"/>
          <w:lang w:val="en-GB"/>
        </w:rPr>
        <w:t>R</w:t>
      </w:r>
      <w:r w:rsidRPr="00C540E2">
        <w:rPr>
          <w:rFonts w:ascii="Times New Roman" w:hAnsi="Times New Roman" w:cs="Times New Roman"/>
          <w:b/>
          <w:bCs/>
          <w:sz w:val="24"/>
          <w:szCs w:val="24"/>
          <w:lang w:val="en-GB"/>
        </w:rPr>
        <w:t>esearch</w:t>
      </w:r>
      <w:r w:rsidR="00BE0417" w:rsidRPr="00C540E2">
        <w:rPr>
          <w:rFonts w:ascii="Times New Roman" w:hAnsi="Times New Roman" w:cs="Times New Roman"/>
          <w:b/>
          <w:bCs/>
          <w:sz w:val="24"/>
          <w:szCs w:val="24"/>
          <w:lang w:val="en-GB"/>
        </w:rPr>
        <w:t xml:space="preserve"> </w:t>
      </w:r>
      <w:r w:rsidRPr="00C540E2">
        <w:rPr>
          <w:rFonts w:ascii="Times New Roman" w:hAnsi="Times New Roman" w:cs="Times New Roman"/>
          <w:b/>
          <w:bCs/>
          <w:sz w:val="24"/>
          <w:szCs w:val="24"/>
          <w:lang w:val="en-GB"/>
        </w:rPr>
        <w:t>–</w:t>
      </w:r>
      <w:r w:rsidR="00BE0417" w:rsidRPr="00C540E2">
        <w:rPr>
          <w:rFonts w:ascii="Times New Roman" w:hAnsi="Times New Roman" w:cs="Times New Roman"/>
          <w:b/>
          <w:bCs/>
          <w:sz w:val="24"/>
          <w:szCs w:val="24"/>
          <w:lang w:val="en-GB"/>
        </w:rPr>
        <w:t xml:space="preserve"> </w:t>
      </w:r>
      <w:r w:rsidRPr="00C540E2">
        <w:rPr>
          <w:rFonts w:ascii="Times New Roman" w:hAnsi="Times New Roman" w:cs="Times New Roman"/>
          <w:sz w:val="24"/>
          <w:szCs w:val="24"/>
          <w:lang w:val="en-GB"/>
        </w:rPr>
        <w:t xml:space="preserve">collection of qualitative and quantitative </w:t>
      </w:r>
      <w:r w:rsidR="005562D1" w:rsidRPr="00C540E2">
        <w:rPr>
          <w:rFonts w:ascii="Times New Roman" w:hAnsi="Times New Roman" w:cs="Times New Roman"/>
          <w:sz w:val="24"/>
          <w:szCs w:val="24"/>
          <w:lang w:val="en-GB"/>
        </w:rPr>
        <w:t>information</w:t>
      </w:r>
      <w:r w:rsidRPr="00C540E2">
        <w:rPr>
          <w:rFonts w:ascii="Times New Roman" w:hAnsi="Times New Roman" w:cs="Times New Roman"/>
          <w:sz w:val="24"/>
          <w:szCs w:val="24"/>
        </w:rPr>
        <w:t xml:space="preserve"> </w:t>
      </w:r>
      <w:r w:rsidRPr="00C540E2">
        <w:rPr>
          <w:rFonts w:ascii="Times New Roman" w:hAnsi="Times New Roman" w:cs="Times New Roman"/>
          <w:sz w:val="24"/>
          <w:szCs w:val="24"/>
          <w:lang w:val="en-GB"/>
        </w:rPr>
        <w:t>on the supply of goods, services, suppliers, goods supplied, services provided by them, and service prices, their analysis and preparation of general conclusions for making decisions on the funds needed for the procurement of the project</w:t>
      </w:r>
      <w:r w:rsidR="00C51403" w:rsidRPr="00C540E2">
        <w:rPr>
          <w:rFonts w:ascii="Times New Roman" w:hAnsi="Times New Roman" w:cs="Times New Roman"/>
          <w:sz w:val="24"/>
          <w:szCs w:val="24"/>
          <w:lang w:val="en-GB"/>
        </w:rPr>
        <w:t>.</w:t>
      </w:r>
    </w:p>
    <w:p w14:paraId="4918768B" w14:textId="77777777" w:rsidR="00273FB4" w:rsidRPr="00C540E2" w:rsidRDefault="00273FB4"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bCs/>
          <w:sz w:val="24"/>
          <w:szCs w:val="24"/>
          <w:lang w:val="en-GB"/>
        </w:rPr>
      </w:pPr>
      <w:r w:rsidRPr="00C540E2">
        <w:rPr>
          <w:rFonts w:ascii="Times New Roman" w:hAnsi="Times New Roman" w:cs="Times New Roman"/>
          <w:b/>
          <w:bCs/>
          <w:sz w:val="24"/>
          <w:szCs w:val="24"/>
          <w:lang w:val="en-GB"/>
        </w:rPr>
        <w:t xml:space="preserve">Health problem-solving algorithm (hereinafter – the Algorithm) </w:t>
      </w:r>
      <w:r w:rsidRPr="00C540E2">
        <w:rPr>
          <w:rFonts w:ascii="Times New Roman" w:hAnsi="Times New Roman" w:cs="Times New Roman"/>
          <w:bCs/>
          <w:sz w:val="24"/>
          <w:szCs w:val="24"/>
          <w:lang w:val="en-GB"/>
        </w:rPr>
        <w:t>– a detailed health problem-solving sequence with a description of the individual problem-solving steps, sources of legal, written and visual methodological information, list of service providers.</w:t>
      </w:r>
    </w:p>
    <w:p w14:paraId="2832ECD4" w14:textId="53323B44" w:rsidR="00273FB4" w:rsidRPr="00C540E2" w:rsidRDefault="00273FB4"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bCs/>
          <w:sz w:val="24"/>
          <w:szCs w:val="24"/>
          <w:lang w:val="en-GB"/>
        </w:rPr>
      </w:pPr>
      <w:r w:rsidRPr="00C540E2">
        <w:rPr>
          <w:rFonts w:ascii="Times New Roman" w:hAnsi="Times New Roman" w:cs="Times New Roman"/>
          <w:b/>
          <w:bCs/>
          <w:sz w:val="24"/>
          <w:szCs w:val="24"/>
          <w:lang w:val="en-GB"/>
        </w:rPr>
        <w:t xml:space="preserve">Donor States </w:t>
      </w:r>
      <w:r w:rsidRPr="00C540E2">
        <w:rPr>
          <w:rFonts w:ascii="Times New Roman" w:hAnsi="Times New Roman" w:cs="Times New Roman"/>
          <w:sz w:val="24"/>
          <w:szCs w:val="24"/>
          <w:lang w:val="en-GB"/>
        </w:rPr>
        <w:t>– the Republic of Iceland, the Principality of Liechtenstein and the Kingdom of Norway.</w:t>
      </w:r>
      <w:r w:rsidRPr="00C540E2">
        <w:rPr>
          <w:rFonts w:ascii="Times New Roman" w:hAnsi="Times New Roman" w:cs="Times New Roman"/>
          <w:b/>
          <w:bCs/>
          <w:sz w:val="24"/>
          <w:szCs w:val="24"/>
          <w:lang w:val="en-GB"/>
        </w:rPr>
        <w:t xml:space="preserve"> </w:t>
      </w:r>
    </w:p>
    <w:p w14:paraId="6267F999" w14:textId="620C826C" w:rsidR="00936041" w:rsidRDefault="00E456B4" w:rsidP="00C540E2">
      <w:pPr>
        <w:pStyle w:val="ListParagraph"/>
        <w:numPr>
          <w:ilvl w:val="1"/>
          <w:numId w:val="10"/>
        </w:numPr>
        <w:tabs>
          <w:tab w:val="left" w:pos="567"/>
          <w:tab w:val="left" w:pos="1134"/>
        </w:tabs>
        <w:spacing w:after="120" w:line="240" w:lineRule="auto"/>
        <w:ind w:left="0" w:firstLine="567"/>
        <w:jc w:val="both"/>
        <w:rPr>
          <w:rFonts w:ascii="Times New Roman" w:hAnsi="Times New Roman" w:cs="Times New Roman"/>
          <w:sz w:val="24"/>
          <w:szCs w:val="24"/>
          <w:lang w:val="en-GB"/>
        </w:rPr>
      </w:pPr>
      <w:r w:rsidRPr="00C540E2">
        <w:rPr>
          <w:rFonts w:ascii="Times New Roman" w:hAnsi="Times New Roman" w:cs="Times New Roman"/>
          <w:b/>
          <w:sz w:val="24"/>
          <w:szCs w:val="24"/>
          <w:lang w:val="en-GB"/>
        </w:rPr>
        <w:t xml:space="preserve">Public authorities (national, regional and local authorities) </w:t>
      </w:r>
      <w:r w:rsidRPr="00C540E2">
        <w:rPr>
          <w:rFonts w:ascii="Times New Roman" w:hAnsi="Times New Roman" w:cs="Times New Roman"/>
          <w:sz w:val="24"/>
          <w:szCs w:val="24"/>
          <w:lang w:val="en-GB"/>
        </w:rPr>
        <w:t>-</w:t>
      </w:r>
      <w:r w:rsidRPr="00C540E2">
        <w:rPr>
          <w:rFonts w:ascii="Times New Roman" w:hAnsi="Times New Roman" w:cs="Times New Roman"/>
          <w:b/>
          <w:sz w:val="24"/>
          <w:szCs w:val="24"/>
          <w:lang w:val="en-GB"/>
        </w:rPr>
        <w:t xml:space="preserve"> </w:t>
      </w:r>
      <w:r w:rsidRPr="00C540E2">
        <w:rPr>
          <w:rFonts w:ascii="Times New Roman" w:hAnsi="Times New Roman" w:cs="Times New Roman"/>
          <w:sz w:val="24"/>
          <w:szCs w:val="24"/>
          <w:lang w:val="en-GB"/>
        </w:rPr>
        <w:t>a state or municipal institution or body. A state or municipal institution or body - representative, head of state, executive, judicial authorities, law enforcement authorities and bodies, institutions and bodies performing audit, control (supervision), other state and municipal institutions and bodies which are financed from the st</w:t>
      </w:r>
      <w:r w:rsidR="00290A60" w:rsidRPr="00C540E2">
        <w:rPr>
          <w:rFonts w:ascii="Times New Roman" w:hAnsi="Times New Roman" w:cs="Times New Roman"/>
          <w:sz w:val="24"/>
          <w:szCs w:val="24"/>
          <w:lang w:val="en-GB"/>
        </w:rPr>
        <w:t xml:space="preserve">ate </w:t>
      </w:r>
      <w:r w:rsidR="00290A60" w:rsidRPr="00C540E2">
        <w:rPr>
          <w:rFonts w:ascii="Times New Roman" w:hAnsi="Times New Roman" w:cs="Times New Roman"/>
          <w:sz w:val="24"/>
          <w:szCs w:val="24"/>
          <w:lang w:val="en-GB"/>
        </w:rPr>
        <w:lastRenderedPageBreak/>
        <w:t>or municipal budgets and</w:t>
      </w:r>
      <w:r w:rsidRPr="00C540E2">
        <w:rPr>
          <w:rFonts w:ascii="Times New Roman" w:hAnsi="Times New Roman" w:cs="Times New Roman"/>
          <w:sz w:val="24"/>
          <w:szCs w:val="24"/>
          <w:lang w:val="en-GB"/>
        </w:rPr>
        <w:t xml:space="preserve"> public monetary funds, and which have been conferred with public administration powers accordance with the procedure established by the Law of the Republic of Lithuania on Public Administration.</w:t>
      </w:r>
    </w:p>
    <w:p w14:paraId="07833DFD" w14:textId="77777777" w:rsidR="00C11281" w:rsidRDefault="00C11281" w:rsidP="0024718D">
      <w:pPr>
        <w:pStyle w:val="ListParagraph"/>
        <w:numPr>
          <w:ilvl w:val="1"/>
          <w:numId w:val="10"/>
        </w:numPr>
        <w:tabs>
          <w:tab w:val="left" w:pos="851"/>
        </w:tabs>
        <w:ind w:left="0" w:firstLine="851"/>
        <w:jc w:val="both"/>
        <w:rPr>
          <w:rFonts w:ascii="Times" w:hAnsi="Times" w:cs="Helvetica"/>
          <w:bCs/>
          <w:lang w:val="en-GB"/>
        </w:rPr>
      </w:pPr>
      <w:r>
        <w:rPr>
          <w:rFonts w:ascii="Times" w:hAnsi="Times" w:cs="Helvetica"/>
          <w:b/>
          <w:bCs/>
          <w:lang w:val="en-GB"/>
        </w:rPr>
        <w:t xml:space="preserve">Indicator - </w:t>
      </w:r>
      <w:r w:rsidRPr="009D2D92">
        <w:rPr>
          <w:rFonts w:ascii="Times" w:hAnsi="Times" w:cs="Helvetica"/>
          <w:bCs/>
          <w:lang w:val="en-GB"/>
        </w:rPr>
        <w:t>a quantitative or qualitative variable that specifies what is to be measured along a scale or dimension</w:t>
      </w:r>
      <w:r>
        <w:rPr>
          <w:rFonts w:ascii="Times" w:hAnsi="Times" w:cs="Helvetica"/>
          <w:bCs/>
          <w:lang w:val="en-GB"/>
        </w:rPr>
        <w:t>.</w:t>
      </w:r>
    </w:p>
    <w:p w14:paraId="50EDC02B" w14:textId="77777777" w:rsidR="00C11281" w:rsidRDefault="00C11281" w:rsidP="0024718D">
      <w:pPr>
        <w:pStyle w:val="ListParagraph"/>
        <w:numPr>
          <w:ilvl w:val="1"/>
          <w:numId w:val="10"/>
        </w:numPr>
        <w:tabs>
          <w:tab w:val="left" w:pos="851"/>
        </w:tabs>
        <w:ind w:left="0" w:firstLine="851"/>
        <w:jc w:val="both"/>
        <w:rPr>
          <w:rFonts w:ascii="Times" w:hAnsi="Times" w:cs="Helvetica"/>
          <w:bCs/>
          <w:lang w:val="en-GB"/>
        </w:rPr>
      </w:pPr>
      <w:r w:rsidRPr="009D2D92">
        <w:rPr>
          <w:rFonts w:ascii="Times" w:hAnsi="Times" w:cs="Helvetica"/>
          <w:b/>
          <w:bCs/>
          <w:lang w:val="en-GB"/>
        </w:rPr>
        <w:t>Outcome</w:t>
      </w:r>
      <w:r>
        <w:rPr>
          <w:rFonts w:ascii="Times" w:hAnsi="Times" w:cs="Helvetica"/>
          <w:bCs/>
          <w:lang w:val="en-GB"/>
        </w:rPr>
        <w:t xml:space="preserve"> -</w:t>
      </w:r>
      <w:r w:rsidRPr="009D2D92">
        <w:rPr>
          <w:rFonts w:ascii="Times" w:hAnsi="Times" w:cs="Helvetica"/>
          <w:bCs/>
          <w:lang w:val="en-GB"/>
        </w:rPr>
        <w:t xml:space="preserve"> the (short and medium-term) effect of an intervention’s outputs on the intermediaries or end beneficiaries.</w:t>
      </w:r>
    </w:p>
    <w:p w14:paraId="4BF2005F" w14:textId="77777777" w:rsidR="00C11281" w:rsidRPr="00936041" w:rsidRDefault="00C11281" w:rsidP="0024718D">
      <w:pPr>
        <w:pStyle w:val="ListParagraph"/>
        <w:numPr>
          <w:ilvl w:val="1"/>
          <w:numId w:val="10"/>
        </w:numPr>
        <w:tabs>
          <w:tab w:val="left" w:pos="851"/>
        </w:tabs>
        <w:ind w:left="0" w:firstLine="851"/>
        <w:jc w:val="both"/>
        <w:rPr>
          <w:rFonts w:ascii="Times" w:hAnsi="Times" w:cs="Helvetica"/>
          <w:bCs/>
          <w:lang w:val="en-GB"/>
        </w:rPr>
      </w:pPr>
      <w:r w:rsidRPr="009D2D92">
        <w:rPr>
          <w:rFonts w:ascii="Times" w:hAnsi="Times" w:cs="Helvetica"/>
          <w:b/>
          <w:bCs/>
          <w:lang w:val="en-GB"/>
        </w:rPr>
        <w:t xml:space="preserve">Output - </w:t>
      </w:r>
      <w:r w:rsidRPr="009D2D92">
        <w:rPr>
          <w:rFonts w:ascii="Times" w:hAnsi="Times" w:cs="Helvetica"/>
          <w:bCs/>
          <w:lang w:val="en-GB"/>
        </w:rPr>
        <w:t>the products, capital goods and services delivered by a programme to the intermediaries.</w:t>
      </w:r>
    </w:p>
    <w:p w14:paraId="14F44613" w14:textId="77777777" w:rsidR="00C11281" w:rsidRPr="00C540E2" w:rsidRDefault="00C11281" w:rsidP="0024718D">
      <w:pPr>
        <w:pStyle w:val="ListParagraph"/>
        <w:tabs>
          <w:tab w:val="left" w:pos="567"/>
          <w:tab w:val="left" w:pos="1134"/>
        </w:tabs>
        <w:spacing w:after="120" w:line="240" w:lineRule="auto"/>
        <w:ind w:left="0" w:firstLine="851"/>
        <w:jc w:val="both"/>
        <w:rPr>
          <w:rFonts w:ascii="Times New Roman" w:hAnsi="Times New Roman" w:cs="Times New Roman"/>
          <w:sz w:val="24"/>
          <w:szCs w:val="24"/>
          <w:lang w:val="en-GB"/>
        </w:rPr>
      </w:pPr>
    </w:p>
    <w:p w14:paraId="173700E4" w14:textId="77777777" w:rsidR="00936041" w:rsidRPr="00C540E2" w:rsidRDefault="00936041" w:rsidP="00C540E2">
      <w:pPr>
        <w:pStyle w:val="ListParagraph"/>
        <w:tabs>
          <w:tab w:val="left" w:pos="851"/>
        </w:tabs>
        <w:spacing w:after="120" w:line="240" w:lineRule="auto"/>
        <w:ind w:left="788"/>
        <w:jc w:val="both"/>
        <w:rPr>
          <w:rFonts w:ascii="Times New Roman" w:hAnsi="Times New Roman" w:cs="Times New Roman"/>
          <w:bCs/>
          <w:sz w:val="24"/>
          <w:szCs w:val="24"/>
          <w:lang w:val="en-GB"/>
        </w:rPr>
      </w:pPr>
      <w:bookmarkStart w:id="5" w:name="_Hlk17208186"/>
      <w:bookmarkEnd w:id="4"/>
    </w:p>
    <w:bookmarkEnd w:id="5"/>
    <w:p w14:paraId="2C8F5A3F" w14:textId="1054544C" w:rsidR="00A1114C" w:rsidRPr="00C540E2" w:rsidRDefault="00FA3EA8" w:rsidP="00C540E2">
      <w:pPr>
        <w:pStyle w:val="ListParagraph"/>
        <w:numPr>
          <w:ilvl w:val="0"/>
          <w:numId w:val="1"/>
        </w:numPr>
        <w:spacing w:after="120" w:line="240" w:lineRule="auto"/>
        <w:jc w:val="center"/>
        <w:rPr>
          <w:rFonts w:ascii="Times New Roman" w:hAnsi="Times New Roman" w:cs="Times New Roman"/>
          <w:b/>
          <w:bCs/>
          <w:sz w:val="24"/>
          <w:szCs w:val="24"/>
          <w:lang w:val="en-GB"/>
        </w:rPr>
      </w:pPr>
      <w:r w:rsidRPr="00C540E2">
        <w:rPr>
          <w:rFonts w:ascii="Times New Roman" w:hAnsi="Times New Roman" w:cs="Times New Roman"/>
          <w:b/>
          <w:bCs/>
          <w:caps/>
          <w:sz w:val="24"/>
          <w:szCs w:val="24"/>
          <w:lang w:val="en-GB" w:eastAsia="lt-LT"/>
        </w:rPr>
        <w:t>Objectives of the programme “</w:t>
      </w:r>
      <w:r w:rsidR="003B5CE1" w:rsidRPr="00C540E2">
        <w:rPr>
          <w:rFonts w:ascii="Times New Roman" w:hAnsi="Times New Roman" w:cs="Times New Roman"/>
          <w:b/>
          <w:bCs/>
          <w:caps/>
          <w:sz w:val="24"/>
          <w:szCs w:val="24"/>
          <w:lang w:val="en-GB" w:eastAsia="lt-LT"/>
        </w:rPr>
        <w:t>HEALTH</w:t>
      </w:r>
      <w:r w:rsidRPr="00C540E2">
        <w:rPr>
          <w:rFonts w:ascii="Times New Roman" w:hAnsi="Times New Roman" w:cs="Times New Roman"/>
          <w:b/>
          <w:bCs/>
          <w:caps/>
          <w:sz w:val="24"/>
          <w:szCs w:val="24"/>
          <w:lang w:val="en-GB" w:eastAsia="lt-LT"/>
        </w:rPr>
        <w:t>” and areas of support</w:t>
      </w:r>
    </w:p>
    <w:p w14:paraId="6A0C2D47" w14:textId="77777777" w:rsidR="005E6844" w:rsidRPr="00C540E2" w:rsidRDefault="005E6844" w:rsidP="00C540E2">
      <w:pPr>
        <w:pStyle w:val="ListParagraph"/>
        <w:spacing w:after="120" w:line="240" w:lineRule="auto"/>
        <w:ind w:left="1080"/>
        <w:rPr>
          <w:rFonts w:ascii="Times New Roman" w:hAnsi="Times New Roman" w:cs="Times New Roman"/>
          <w:b/>
          <w:bCs/>
          <w:sz w:val="24"/>
          <w:szCs w:val="24"/>
          <w:lang w:val="en-GB"/>
        </w:rPr>
      </w:pPr>
    </w:p>
    <w:p w14:paraId="0301BC6F" w14:textId="74CBDE66" w:rsidR="003B5CE1" w:rsidRPr="00C540E2" w:rsidRDefault="00FA3EA8" w:rsidP="00C540E2">
      <w:pPr>
        <w:pStyle w:val="ListParagraph"/>
        <w:numPr>
          <w:ilvl w:val="0"/>
          <w:numId w:val="3"/>
        </w:numPr>
        <w:spacing w:after="120" w:line="240" w:lineRule="auto"/>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w:t>
      </w:r>
      <w:r w:rsidR="00445430">
        <w:rPr>
          <w:rFonts w:ascii="Times New Roman" w:hAnsi="Times New Roman" w:cs="Times New Roman"/>
          <w:sz w:val="24"/>
          <w:szCs w:val="24"/>
          <w:lang w:val="en-GB"/>
        </w:rPr>
        <w:t>objective</w:t>
      </w:r>
      <w:r w:rsidRPr="00C540E2">
        <w:rPr>
          <w:rFonts w:ascii="Times New Roman" w:hAnsi="Times New Roman" w:cs="Times New Roman"/>
          <w:sz w:val="24"/>
          <w:szCs w:val="24"/>
          <w:lang w:val="en-GB"/>
        </w:rPr>
        <w:t xml:space="preserve"> of the Programme is </w:t>
      </w:r>
      <w:r w:rsidR="003B5CE1" w:rsidRPr="00C540E2">
        <w:rPr>
          <w:rFonts w:ascii="Times New Roman" w:hAnsi="Times New Roman" w:cs="Times New Roman"/>
          <w:sz w:val="24"/>
          <w:szCs w:val="24"/>
          <w:lang w:val="en-GB"/>
        </w:rPr>
        <w:t xml:space="preserve">improving prevention and reducing health inequalities. </w:t>
      </w:r>
    </w:p>
    <w:p w14:paraId="502600CD" w14:textId="0563CE6F" w:rsidR="00816CF8" w:rsidRPr="00C540E2" w:rsidRDefault="00273FB4" w:rsidP="009A0266">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The Programme's open call “Introduction of the Adapted and Extended Model of the Provision of Youth-friendly Healthcare Services (YFHCS)“ (hereinafter – the Call) will aim to strengthen the community mental health services and promote the development of the YFHCSs model in Lithuania.</w:t>
      </w:r>
    </w:p>
    <w:p w14:paraId="4D0A68B2" w14:textId="685D64A0" w:rsidR="00816CF8" w:rsidRPr="00C540E2" w:rsidRDefault="000E706C"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following </w:t>
      </w:r>
      <w:r w:rsidR="009A0266" w:rsidRPr="009A0266">
        <w:rPr>
          <w:rFonts w:ascii="Times New Roman" w:hAnsi="Times New Roman" w:cs="Times New Roman"/>
          <w:sz w:val="24"/>
          <w:szCs w:val="24"/>
          <w:lang w:val="en-GB"/>
        </w:rPr>
        <w:t>activities are foreseen for the projects selected under this open call“.</w:t>
      </w:r>
    </w:p>
    <w:p w14:paraId="1FC9B569" w14:textId="568037AF" w:rsidR="00273FB4" w:rsidRPr="00C540E2" w:rsidRDefault="00273FB4" w:rsidP="00C540E2">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activities that are necessary in implementing the elements of the Model, that are specified in Clause 7-8 of the Description of the Model for the Provision of Youth-friendly Healthcare Services and of Coordination at National Level (hereinafter - Annex 1 to the Guidelines);</w:t>
      </w:r>
    </w:p>
    <w:p w14:paraId="18413079" w14:textId="77777777" w:rsidR="00273FB4" w:rsidRPr="00C540E2" w:rsidRDefault="00273FB4" w:rsidP="00C540E2">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 activities necessary for the development of previously implemented Algorithms; </w:t>
      </w:r>
    </w:p>
    <w:p w14:paraId="32B43E28" w14:textId="77777777" w:rsidR="00273FB4" w:rsidRPr="00C540E2" w:rsidRDefault="00273FB4" w:rsidP="00C540E2">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other initiatives that are in line with the YFHCSs definition and criteria specified in Sub-Clauses 4.8. and 4.9. of the Guidelines; </w:t>
      </w:r>
    </w:p>
    <w:p w14:paraId="5D85781A" w14:textId="4E898488" w:rsidR="00273FB4" w:rsidRPr="00C540E2" w:rsidRDefault="00273FB4" w:rsidP="00C540E2">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events, training, studies, surveys and the like that are necessary in introducing the Model in the municipality</w:t>
      </w:r>
      <w:r w:rsidR="00F441FB" w:rsidRPr="00C540E2">
        <w:rPr>
          <w:rFonts w:ascii="Times New Roman" w:hAnsi="Times New Roman" w:cs="Times New Roman"/>
          <w:sz w:val="24"/>
          <w:szCs w:val="24"/>
          <w:lang w:val="en-GB"/>
        </w:rPr>
        <w:t>.</w:t>
      </w:r>
    </w:p>
    <w:p w14:paraId="5314C703" w14:textId="73E07417" w:rsidR="009407B4" w:rsidRPr="00C540E2" w:rsidRDefault="000F3E30" w:rsidP="00C540E2">
      <w:pPr>
        <w:pStyle w:val="ListParagraph"/>
        <w:numPr>
          <w:ilvl w:val="0"/>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EUR</w:t>
      </w:r>
      <w:r w:rsidRPr="00C540E2">
        <w:rPr>
          <w:rFonts w:ascii="Times New Roman" w:hAnsi="Times New Roman" w:cs="Times New Roman"/>
          <w:sz w:val="24"/>
          <w:szCs w:val="24"/>
        </w:rPr>
        <w:t xml:space="preserve"> </w:t>
      </w:r>
      <w:r w:rsidR="00EB686E" w:rsidRPr="00C540E2">
        <w:rPr>
          <w:rFonts w:ascii="Times New Roman" w:hAnsi="Times New Roman" w:cs="Times New Roman"/>
          <w:sz w:val="24"/>
          <w:szCs w:val="24"/>
          <w:lang w:val="en-GB"/>
        </w:rPr>
        <w:t>2</w:t>
      </w:r>
      <w:r w:rsidR="000B7D8A" w:rsidRPr="00C540E2">
        <w:rPr>
          <w:rFonts w:ascii="Times New Roman" w:hAnsi="Times New Roman" w:cs="Times New Roman"/>
          <w:sz w:val="24"/>
          <w:szCs w:val="24"/>
          <w:lang w:val="en-GB"/>
        </w:rPr>
        <w:t> </w:t>
      </w:r>
      <w:r w:rsidR="00F441FB" w:rsidRPr="00C540E2">
        <w:rPr>
          <w:rFonts w:ascii="Times New Roman" w:hAnsi="Times New Roman" w:cs="Times New Roman"/>
          <w:sz w:val="24"/>
          <w:szCs w:val="24"/>
          <w:lang w:val="en-GB"/>
        </w:rPr>
        <w:t>139</w:t>
      </w:r>
      <w:r w:rsidR="002016D2" w:rsidRPr="00C540E2">
        <w:rPr>
          <w:rFonts w:ascii="Times New Roman" w:hAnsi="Times New Roman" w:cs="Times New Roman"/>
          <w:sz w:val="24"/>
          <w:szCs w:val="24"/>
          <w:lang w:val="en-GB"/>
        </w:rPr>
        <w:t> </w:t>
      </w:r>
      <w:r w:rsidR="00F441FB" w:rsidRPr="00C540E2">
        <w:rPr>
          <w:rFonts w:ascii="Times New Roman" w:hAnsi="Times New Roman" w:cs="Times New Roman"/>
          <w:sz w:val="24"/>
          <w:szCs w:val="24"/>
          <w:lang w:val="en-GB"/>
        </w:rPr>
        <w:t>99</w:t>
      </w:r>
      <w:r w:rsidR="002016D2" w:rsidRPr="00C540E2">
        <w:rPr>
          <w:rFonts w:ascii="Times New Roman" w:hAnsi="Times New Roman" w:cs="Times New Roman"/>
          <w:sz w:val="24"/>
          <w:szCs w:val="24"/>
          <w:lang w:val="en-GB"/>
        </w:rPr>
        <w:t xml:space="preserve">0.00 </w:t>
      </w:r>
      <w:r w:rsidRPr="00C540E2">
        <w:rPr>
          <w:rFonts w:ascii="Times New Roman" w:hAnsi="Times New Roman" w:cs="Times New Roman"/>
          <w:sz w:val="24"/>
          <w:szCs w:val="24"/>
          <w:lang w:val="en-GB"/>
        </w:rPr>
        <w:t xml:space="preserve">(of which EUR </w:t>
      </w:r>
      <w:r w:rsidR="00F441FB" w:rsidRPr="00C540E2">
        <w:rPr>
          <w:rFonts w:ascii="Times New Roman" w:hAnsi="Times New Roman" w:cs="Times New Roman"/>
          <w:sz w:val="24"/>
          <w:szCs w:val="24"/>
          <w:lang w:val="en-GB"/>
        </w:rPr>
        <w:t>1 818 991.42</w:t>
      </w:r>
      <w:r w:rsidRPr="00C540E2">
        <w:rPr>
          <w:rFonts w:ascii="Times New Roman" w:hAnsi="Times New Roman" w:cs="Times New Roman"/>
          <w:sz w:val="24"/>
          <w:szCs w:val="24"/>
          <w:lang w:val="en-GB"/>
        </w:rPr>
        <w:t xml:space="preserve"> from the Mechanism </w:t>
      </w:r>
      <w:r w:rsidR="00297B15" w:rsidRPr="00C540E2">
        <w:rPr>
          <w:rFonts w:ascii="Times New Roman" w:hAnsi="Times New Roman" w:cs="Times New Roman"/>
          <w:sz w:val="24"/>
          <w:szCs w:val="24"/>
          <w:lang w:val="en-GB"/>
        </w:rPr>
        <w:t xml:space="preserve">Funds </w:t>
      </w:r>
      <w:r w:rsidRPr="00C540E2">
        <w:rPr>
          <w:rFonts w:ascii="Times New Roman" w:hAnsi="Times New Roman" w:cs="Times New Roman"/>
          <w:sz w:val="24"/>
          <w:szCs w:val="24"/>
          <w:lang w:val="en-GB"/>
        </w:rPr>
        <w:t xml:space="preserve">and EUR </w:t>
      </w:r>
      <w:r w:rsidR="00F441FB" w:rsidRPr="00C540E2">
        <w:rPr>
          <w:rFonts w:ascii="Times New Roman" w:hAnsi="Times New Roman" w:cs="Times New Roman"/>
          <w:sz w:val="24"/>
          <w:szCs w:val="24"/>
          <w:lang w:val="en-GB"/>
        </w:rPr>
        <w:t>320 998.58</w:t>
      </w:r>
      <w:r w:rsidRPr="00C540E2">
        <w:rPr>
          <w:rFonts w:ascii="Times New Roman" w:hAnsi="Times New Roman" w:cs="Times New Roman"/>
          <w:sz w:val="24"/>
          <w:szCs w:val="24"/>
          <w:lang w:val="en-GB"/>
        </w:rPr>
        <w:t xml:space="preserve"> from the </w:t>
      </w:r>
      <w:r w:rsidR="006C6D84" w:rsidRPr="00C540E2">
        <w:rPr>
          <w:rFonts w:ascii="Times New Roman" w:hAnsi="Times New Roman" w:cs="Times New Roman"/>
          <w:sz w:val="24"/>
          <w:szCs w:val="24"/>
          <w:lang w:val="en-GB"/>
        </w:rPr>
        <w:t xml:space="preserve">national </w:t>
      </w:r>
      <w:r w:rsidRPr="00C540E2">
        <w:rPr>
          <w:rFonts w:ascii="Times New Roman" w:hAnsi="Times New Roman" w:cs="Times New Roman"/>
          <w:sz w:val="24"/>
          <w:szCs w:val="24"/>
          <w:lang w:val="en-GB"/>
        </w:rPr>
        <w:t xml:space="preserve">co-financing) </w:t>
      </w:r>
      <w:r w:rsidR="002016D2" w:rsidRPr="00C540E2">
        <w:rPr>
          <w:rFonts w:ascii="Times New Roman" w:hAnsi="Times New Roman" w:cs="Times New Roman"/>
          <w:sz w:val="24"/>
          <w:szCs w:val="24"/>
          <w:lang w:val="en-GB"/>
        </w:rPr>
        <w:t xml:space="preserve">shall be allocated for the implementation of the projects under the call </w:t>
      </w:r>
    </w:p>
    <w:p w14:paraId="006BA714" w14:textId="02951F97" w:rsidR="002C7E75" w:rsidRPr="00C540E2" w:rsidRDefault="002016D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All information on the Programme and the submission of Programme project applications is published online at</w:t>
      </w:r>
      <w:r w:rsidR="002C7E75" w:rsidRPr="00C540E2">
        <w:rPr>
          <w:rFonts w:ascii="Times New Roman" w:hAnsi="Times New Roman" w:cs="Times New Roman"/>
          <w:sz w:val="24"/>
          <w:szCs w:val="24"/>
          <w:lang w:val="en-GB"/>
        </w:rPr>
        <w:t xml:space="preserve"> </w:t>
      </w:r>
      <w:bookmarkStart w:id="6" w:name="_Hlk18087541"/>
      <w:r w:rsidR="00BC3AF0" w:rsidRPr="00C540E2">
        <w:rPr>
          <w:rFonts w:ascii="Times New Roman" w:hAnsi="Times New Roman" w:cs="Times New Roman"/>
          <w:sz w:val="24"/>
          <w:szCs w:val="24"/>
          <w:lang w:val="en-GB"/>
        </w:rPr>
        <w:fldChar w:fldCharType="begin"/>
      </w:r>
      <w:r w:rsidR="00BC3AF0" w:rsidRPr="00C540E2">
        <w:rPr>
          <w:rFonts w:ascii="Times New Roman" w:hAnsi="Times New Roman" w:cs="Times New Roman"/>
          <w:sz w:val="24"/>
          <w:szCs w:val="24"/>
          <w:lang w:val="en-GB"/>
        </w:rPr>
        <w:instrText xml:space="preserve"> HYPERLINK "http://www.eeagrants.lt" </w:instrText>
      </w:r>
      <w:r w:rsidR="00BC3AF0" w:rsidRPr="00C540E2">
        <w:rPr>
          <w:rFonts w:ascii="Times New Roman" w:hAnsi="Times New Roman" w:cs="Times New Roman"/>
          <w:sz w:val="24"/>
          <w:szCs w:val="24"/>
          <w:lang w:val="en-GB"/>
        </w:rPr>
        <w:fldChar w:fldCharType="separate"/>
      </w:r>
      <w:r w:rsidR="00BC3AF0" w:rsidRPr="00C540E2">
        <w:rPr>
          <w:rStyle w:val="Hyperlink"/>
          <w:rFonts w:ascii="Times New Roman" w:hAnsi="Times New Roman" w:cs="Times New Roman"/>
          <w:color w:val="auto"/>
          <w:sz w:val="24"/>
          <w:szCs w:val="24"/>
          <w:lang w:val="en-GB"/>
        </w:rPr>
        <w:t>www.eeagrants.lt</w:t>
      </w:r>
      <w:r w:rsidR="00BC3AF0" w:rsidRPr="00C540E2">
        <w:rPr>
          <w:rFonts w:ascii="Times New Roman" w:hAnsi="Times New Roman" w:cs="Times New Roman"/>
          <w:sz w:val="24"/>
          <w:szCs w:val="24"/>
          <w:lang w:val="en-GB"/>
        </w:rPr>
        <w:fldChar w:fldCharType="end"/>
      </w:r>
      <w:r w:rsidR="00BC3AF0"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and</w:t>
      </w:r>
      <w:r w:rsidR="00BC3AF0" w:rsidRPr="00C540E2">
        <w:rPr>
          <w:rFonts w:ascii="Times New Roman" w:hAnsi="Times New Roman" w:cs="Times New Roman"/>
          <w:sz w:val="24"/>
          <w:szCs w:val="24"/>
          <w:lang w:val="en-GB"/>
        </w:rPr>
        <w:t xml:space="preserve"> </w:t>
      </w:r>
      <w:hyperlink r:id="rId11" w:history="1">
        <w:r w:rsidR="00BC3AF0" w:rsidRPr="00C540E2">
          <w:rPr>
            <w:rStyle w:val="Hyperlink"/>
            <w:rFonts w:ascii="Times New Roman" w:hAnsi="Times New Roman" w:cs="Times New Roman"/>
            <w:color w:val="auto"/>
            <w:sz w:val="24"/>
            <w:szCs w:val="24"/>
            <w:lang w:val="en-GB"/>
          </w:rPr>
          <w:t>www.cpva.lt</w:t>
        </w:r>
      </w:hyperlink>
      <w:r w:rsidR="00BC3AF0" w:rsidRPr="00C540E2">
        <w:rPr>
          <w:rFonts w:ascii="Times New Roman" w:hAnsi="Times New Roman" w:cs="Times New Roman"/>
          <w:sz w:val="24"/>
          <w:szCs w:val="24"/>
          <w:lang w:val="en-GB"/>
        </w:rPr>
        <w:t xml:space="preserve">. </w:t>
      </w:r>
      <w:bookmarkEnd w:id="6"/>
    </w:p>
    <w:p w14:paraId="7D286CE2" w14:textId="77777777" w:rsidR="00724313" w:rsidRPr="00C540E2" w:rsidRDefault="00724313" w:rsidP="00C540E2">
      <w:pPr>
        <w:pStyle w:val="ListParagraph"/>
        <w:spacing w:after="120" w:line="240" w:lineRule="auto"/>
        <w:ind w:left="1080"/>
        <w:jc w:val="both"/>
        <w:rPr>
          <w:rFonts w:ascii="Times New Roman" w:hAnsi="Times New Roman" w:cs="Times New Roman"/>
          <w:b/>
          <w:bCs/>
          <w:sz w:val="24"/>
          <w:szCs w:val="24"/>
          <w:lang w:val="en-GB"/>
        </w:rPr>
      </w:pPr>
    </w:p>
    <w:p w14:paraId="28252526" w14:textId="07041DE2" w:rsidR="002C7E75" w:rsidRPr="00C540E2" w:rsidRDefault="00DE2785"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 xml:space="preserve">Eligible applicants, project partners and requirements for </w:t>
      </w:r>
      <w:r w:rsidR="00F70B3F" w:rsidRPr="00C540E2">
        <w:rPr>
          <w:rFonts w:ascii="Times New Roman" w:hAnsi="Times New Roman" w:cs="Times New Roman"/>
          <w:b/>
          <w:bCs/>
          <w:caps/>
          <w:sz w:val="24"/>
          <w:szCs w:val="24"/>
          <w:lang w:val="en-GB"/>
        </w:rPr>
        <w:t xml:space="preserve">the </w:t>
      </w:r>
      <w:r w:rsidRPr="00C540E2">
        <w:rPr>
          <w:rFonts w:ascii="Times New Roman" w:hAnsi="Times New Roman" w:cs="Times New Roman"/>
          <w:b/>
          <w:bCs/>
          <w:caps/>
          <w:sz w:val="24"/>
          <w:szCs w:val="24"/>
          <w:lang w:val="en-GB"/>
        </w:rPr>
        <w:t>partnership agreement</w:t>
      </w:r>
      <w:r w:rsidR="002C7E75" w:rsidRPr="00C540E2">
        <w:rPr>
          <w:rFonts w:ascii="Times New Roman" w:hAnsi="Times New Roman" w:cs="Times New Roman"/>
          <w:b/>
          <w:bCs/>
          <w:caps/>
          <w:sz w:val="24"/>
          <w:szCs w:val="24"/>
          <w:lang w:val="en-GB"/>
        </w:rPr>
        <w:t xml:space="preserve"> </w:t>
      </w:r>
    </w:p>
    <w:p w14:paraId="43FB2571" w14:textId="77777777" w:rsidR="00936041" w:rsidRPr="00C540E2" w:rsidRDefault="00936041" w:rsidP="00C540E2">
      <w:pPr>
        <w:pStyle w:val="ListParagraph"/>
        <w:spacing w:after="120" w:line="240" w:lineRule="auto"/>
        <w:ind w:left="1080"/>
        <w:rPr>
          <w:rFonts w:ascii="Times New Roman" w:hAnsi="Times New Roman" w:cs="Times New Roman"/>
          <w:b/>
          <w:bCs/>
          <w:caps/>
          <w:sz w:val="24"/>
          <w:szCs w:val="24"/>
          <w:lang w:val="en-GB"/>
        </w:rPr>
      </w:pPr>
    </w:p>
    <w:p w14:paraId="63B13F08" w14:textId="5CBFFC7A" w:rsidR="0012370B" w:rsidRPr="00C540E2" w:rsidRDefault="0012370B"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Potential Applicants are </w:t>
      </w:r>
      <w:r w:rsidR="00EB686E" w:rsidRPr="00C540E2">
        <w:rPr>
          <w:rFonts w:ascii="Times New Roman" w:hAnsi="Times New Roman" w:cs="Times New Roman"/>
          <w:sz w:val="24"/>
          <w:szCs w:val="24"/>
          <w:lang w:val="en-GB"/>
        </w:rPr>
        <w:t xml:space="preserve">Lithuanian Republic public authorities (national, regional and local authorities </w:t>
      </w:r>
      <w:r w:rsidR="00F441FB" w:rsidRPr="00C540E2">
        <w:rPr>
          <w:rFonts w:ascii="Times New Roman" w:hAnsi="Times New Roman" w:cs="Times New Roman"/>
          <w:sz w:val="24"/>
          <w:szCs w:val="24"/>
          <w:lang w:val="en-GB"/>
        </w:rPr>
        <w:t>as it is defined in article 4.20</w:t>
      </w:r>
      <w:r w:rsidR="00EB686E" w:rsidRPr="00C540E2">
        <w:rPr>
          <w:rFonts w:ascii="Times New Roman" w:hAnsi="Times New Roman" w:cs="Times New Roman"/>
          <w:sz w:val="24"/>
          <w:szCs w:val="24"/>
          <w:lang w:val="en-GB"/>
        </w:rPr>
        <w:t>. of this Guideline) and the Municipal Public Health Bureau</w:t>
      </w:r>
      <w:r w:rsidR="00C540E2">
        <w:rPr>
          <w:rFonts w:ascii="Times New Roman" w:hAnsi="Times New Roman" w:cs="Times New Roman"/>
          <w:sz w:val="24"/>
          <w:szCs w:val="24"/>
          <w:lang w:val="en-GB"/>
        </w:rPr>
        <w:t>s</w:t>
      </w:r>
      <w:r w:rsidRPr="00C540E2">
        <w:rPr>
          <w:rFonts w:ascii="Times New Roman" w:hAnsi="Times New Roman" w:cs="Times New Roman"/>
          <w:sz w:val="24"/>
          <w:szCs w:val="24"/>
          <w:lang w:val="en-GB"/>
        </w:rPr>
        <w:t>;</w:t>
      </w:r>
    </w:p>
    <w:p w14:paraId="19EE0644" w14:textId="7695AFD7" w:rsidR="0012370B" w:rsidRPr="00C540E2" w:rsidRDefault="0012370B"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Project Partners</w:t>
      </w:r>
      <w:r w:rsidR="00EB686E" w:rsidRPr="00C540E2">
        <w:rPr>
          <w:rFonts w:ascii="Times New Roman" w:hAnsi="Times New Roman" w:cs="Times New Roman"/>
          <w:sz w:val="24"/>
          <w:szCs w:val="24"/>
          <w:lang w:val="en-GB"/>
        </w:rPr>
        <w:t xml:space="preserve"> are </w:t>
      </w:r>
      <w:bookmarkStart w:id="7" w:name="_Hlk43476836"/>
      <w:r w:rsidR="003B3C5C" w:rsidRPr="00C540E2">
        <w:rPr>
          <w:rFonts w:ascii="Times New Roman" w:hAnsi="Times New Roman" w:cs="Times New Roman"/>
          <w:sz w:val="24"/>
          <w:szCs w:val="24"/>
          <w:lang w:val="en-GB"/>
        </w:rPr>
        <w:t xml:space="preserve">Lithuanian Republic and Donor </w:t>
      </w:r>
      <w:r w:rsidR="00445430">
        <w:rPr>
          <w:rFonts w:ascii="Times New Roman" w:hAnsi="Times New Roman" w:cs="Times New Roman"/>
          <w:sz w:val="24"/>
          <w:szCs w:val="24"/>
          <w:lang w:val="en-GB"/>
        </w:rPr>
        <w:t>S</w:t>
      </w:r>
      <w:r w:rsidR="003B3C5C" w:rsidRPr="00C540E2">
        <w:rPr>
          <w:rFonts w:ascii="Times New Roman" w:hAnsi="Times New Roman" w:cs="Times New Roman"/>
          <w:sz w:val="24"/>
          <w:szCs w:val="24"/>
          <w:lang w:val="en-GB"/>
        </w:rPr>
        <w:t>tate</w:t>
      </w:r>
      <w:r w:rsidR="00445430">
        <w:rPr>
          <w:rFonts w:ascii="Times New Roman" w:hAnsi="Times New Roman" w:cs="Times New Roman"/>
          <w:sz w:val="24"/>
          <w:szCs w:val="24"/>
          <w:lang w:val="en-GB"/>
        </w:rPr>
        <w:t>s’ (Norway, Iceland, Liechtenstein)</w:t>
      </w:r>
      <w:r w:rsidR="003B3C5C" w:rsidRPr="00C540E2">
        <w:rPr>
          <w:rFonts w:ascii="Times New Roman" w:hAnsi="Times New Roman" w:cs="Times New Roman"/>
          <w:sz w:val="24"/>
          <w:szCs w:val="24"/>
          <w:lang w:val="en-GB"/>
        </w:rPr>
        <w:t xml:space="preserve"> </w:t>
      </w:r>
      <w:r w:rsidR="00EB686E" w:rsidRPr="00C540E2">
        <w:rPr>
          <w:rFonts w:ascii="Times New Roman" w:hAnsi="Times New Roman" w:cs="Times New Roman"/>
          <w:sz w:val="24"/>
          <w:szCs w:val="24"/>
          <w:lang w:val="en-GB"/>
        </w:rPr>
        <w:t xml:space="preserve">public </w:t>
      </w:r>
      <w:bookmarkEnd w:id="7"/>
      <w:r w:rsidR="00EB686E" w:rsidRPr="0012512E">
        <w:rPr>
          <w:rFonts w:ascii="Times New Roman" w:hAnsi="Times New Roman" w:cs="Times New Roman"/>
          <w:sz w:val="24"/>
          <w:szCs w:val="24"/>
          <w:lang w:val="en-GB"/>
        </w:rPr>
        <w:t xml:space="preserve">authorities (national, regional and local authorities </w:t>
      </w:r>
      <w:r w:rsidR="00F441FB" w:rsidRPr="0012512E">
        <w:rPr>
          <w:rFonts w:ascii="Times New Roman" w:hAnsi="Times New Roman" w:cs="Times New Roman"/>
          <w:sz w:val="24"/>
          <w:szCs w:val="24"/>
          <w:lang w:val="en-GB"/>
        </w:rPr>
        <w:t>as it is defined in article 4.20</w:t>
      </w:r>
      <w:r w:rsidR="00EB686E" w:rsidRPr="0012512E">
        <w:rPr>
          <w:rFonts w:ascii="Times New Roman" w:hAnsi="Times New Roman" w:cs="Times New Roman"/>
          <w:sz w:val="24"/>
          <w:szCs w:val="24"/>
          <w:lang w:val="en-GB"/>
        </w:rPr>
        <w:t xml:space="preserve">. of this Guideline) and </w:t>
      </w:r>
      <w:r w:rsidR="0012512E" w:rsidRPr="0012512E">
        <w:rPr>
          <w:rFonts w:ascii="Times New Roman" w:hAnsi="Times New Roman" w:cs="Times New Roman"/>
          <w:sz w:val="24"/>
          <w:szCs w:val="24"/>
          <w:lang w:val="en-GB"/>
        </w:rPr>
        <w:t>Lithuanian</w:t>
      </w:r>
      <w:r w:rsidR="00EB686E" w:rsidRPr="0012512E">
        <w:rPr>
          <w:rFonts w:ascii="Times New Roman" w:hAnsi="Times New Roman" w:cs="Times New Roman"/>
          <w:sz w:val="24"/>
          <w:szCs w:val="24"/>
          <w:lang w:val="en-GB"/>
        </w:rPr>
        <w:t xml:space="preserve"> Municipal Public Health Bureaus</w:t>
      </w:r>
      <w:r w:rsidR="0012512E" w:rsidRPr="0012512E">
        <w:rPr>
          <w:rFonts w:ascii="Times New Roman" w:hAnsi="Times New Roman" w:cs="Times New Roman"/>
          <w:sz w:val="24"/>
          <w:szCs w:val="24"/>
          <w:lang w:val="en-GB"/>
        </w:rPr>
        <w:t xml:space="preserve"> </w:t>
      </w:r>
      <w:r w:rsidR="0012512E" w:rsidRPr="0012512E">
        <w:rPr>
          <w:rFonts w:ascii="Times New Roman" w:hAnsi="Times New Roman"/>
          <w:sz w:val="24"/>
          <w:szCs w:val="24"/>
          <w:lang w:val="en-GB"/>
        </w:rPr>
        <w:t>and equivalent legal persons from Donor States</w:t>
      </w:r>
      <w:r w:rsidR="003B3C5C" w:rsidRPr="0012512E">
        <w:rPr>
          <w:rFonts w:ascii="Times New Roman" w:hAnsi="Times New Roman" w:cs="Times New Roman"/>
          <w:sz w:val="24"/>
          <w:szCs w:val="24"/>
          <w:lang w:val="en-GB"/>
        </w:rPr>
        <w:t>.</w:t>
      </w:r>
    </w:p>
    <w:p w14:paraId="0759DED3" w14:textId="6B0938A4" w:rsidR="00816CF8" w:rsidRPr="00C540E2" w:rsidRDefault="00DE2785"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In this call, the same </w:t>
      </w:r>
      <w:r w:rsidR="0076591F" w:rsidRPr="00C540E2">
        <w:rPr>
          <w:rFonts w:ascii="Times New Roman" w:hAnsi="Times New Roman" w:cs="Times New Roman"/>
          <w:sz w:val="24"/>
          <w:szCs w:val="24"/>
          <w:lang w:val="en-GB"/>
        </w:rPr>
        <w:t>institution</w:t>
      </w:r>
      <w:r w:rsidRPr="00C540E2">
        <w:rPr>
          <w:rFonts w:ascii="Times New Roman" w:hAnsi="Times New Roman" w:cs="Times New Roman"/>
          <w:sz w:val="24"/>
          <w:szCs w:val="24"/>
          <w:lang w:val="en-GB"/>
        </w:rPr>
        <w:t xml:space="preserve"> can submit one application only</w:t>
      </w:r>
      <w:r w:rsidR="0076591F" w:rsidRPr="00C540E2">
        <w:rPr>
          <w:rFonts w:ascii="Times New Roman" w:hAnsi="Times New Roman" w:cs="Times New Roman"/>
          <w:sz w:val="24"/>
          <w:szCs w:val="24"/>
          <w:lang w:val="en-GB"/>
        </w:rPr>
        <w:t xml:space="preserve"> as an Applicant</w:t>
      </w:r>
      <w:r w:rsidRPr="00C540E2">
        <w:rPr>
          <w:rFonts w:ascii="Times New Roman" w:hAnsi="Times New Roman" w:cs="Times New Roman"/>
          <w:sz w:val="24"/>
          <w:szCs w:val="24"/>
          <w:lang w:val="en-GB"/>
        </w:rPr>
        <w:t xml:space="preserve">. Should an </w:t>
      </w:r>
      <w:r w:rsidR="0076591F"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pplicant submit more than one application, the first submitted application only shall be assessed (based on the date and time of its submission), and all other applications shall be rejected</w:t>
      </w:r>
      <w:r w:rsidR="004A3F44" w:rsidRPr="00C540E2">
        <w:rPr>
          <w:rFonts w:ascii="Times New Roman" w:hAnsi="Times New Roman" w:cs="Times New Roman"/>
          <w:sz w:val="24"/>
          <w:szCs w:val="24"/>
          <w:lang w:val="en-GB"/>
        </w:rPr>
        <w:t xml:space="preserve">. </w:t>
      </w:r>
      <w:bookmarkStart w:id="8" w:name="_Hlk18087679"/>
    </w:p>
    <w:p w14:paraId="5BCEDB12" w14:textId="6787B966" w:rsidR="003E1E22" w:rsidRPr="00C540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Applicant </w:t>
      </w:r>
      <w:r w:rsidR="003B3C5C" w:rsidRPr="00C540E2">
        <w:rPr>
          <w:rFonts w:ascii="Times New Roman" w:hAnsi="Times New Roman" w:cs="Times New Roman"/>
          <w:sz w:val="24"/>
          <w:szCs w:val="24"/>
          <w:lang w:val="en-GB"/>
        </w:rPr>
        <w:t xml:space="preserve">may </w:t>
      </w:r>
      <w:r w:rsidRPr="00C540E2">
        <w:rPr>
          <w:rFonts w:ascii="Times New Roman" w:hAnsi="Times New Roman" w:cs="Times New Roman"/>
          <w:sz w:val="24"/>
          <w:szCs w:val="24"/>
          <w:lang w:val="en-GB"/>
        </w:rPr>
        <w:t xml:space="preserve">have </w:t>
      </w:r>
      <w:bookmarkStart w:id="9" w:name="_Hlk43476861"/>
      <w:r w:rsidR="00445430">
        <w:rPr>
          <w:rFonts w:ascii="Times New Roman" w:hAnsi="Times New Roman" w:cs="Times New Roman"/>
          <w:sz w:val="24"/>
          <w:szCs w:val="24"/>
          <w:lang w:val="en-GB"/>
        </w:rPr>
        <w:t xml:space="preserve">project </w:t>
      </w:r>
      <w:r w:rsidRPr="00C540E2">
        <w:rPr>
          <w:rFonts w:ascii="Times New Roman" w:hAnsi="Times New Roman" w:cs="Times New Roman"/>
          <w:sz w:val="24"/>
          <w:szCs w:val="24"/>
          <w:lang w:val="en-GB"/>
        </w:rPr>
        <w:t>partner</w:t>
      </w:r>
      <w:r w:rsidR="003B3C5C" w:rsidRPr="00C540E2">
        <w:rPr>
          <w:rFonts w:ascii="Times New Roman" w:hAnsi="Times New Roman" w:cs="Times New Roman"/>
          <w:sz w:val="24"/>
          <w:szCs w:val="24"/>
          <w:lang w:val="en-GB"/>
        </w:rPr>
        <w:t xml:space="preserve"> (</w:t>
      </w:r>
      <w:r w:rsidR="00445430">
        <w:rPr>
          <w:rFonts w:ascii="Times New Roman" w:hAnsi="Times New Roman" w:cs="Times New Roman"/>
          <w:sz w:val="24"/>
          <w:szCs w:val="24"/>
          <w:lang w:val="en-GB"/>
        </w:rPr>
        <w:t>-</w:t>
      </w:r>
      <w:r w:rsidR="00445430" w:rsidRPr="00C540E2">
        <w:rPr>
          <w:rFonts w:ascii="Times New Roman" w:hAnsi="Times New Roman" w:cs="Times New Roman"/>
          <w:sz w:val="24"/>
          <w:szCs w:val="24"/>
          <w:lang w:val="en-GB"/>
        </w:rPr>
        <w:t>s</w:t>
      </w:r>
      <w:r w:rsidR="003B3C5C"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 </w:t>
      </w:r>
      <w:bookmarkEnd w:id="9"/>
      <w:r w:rsidRPr="00C540E2">
        <w:rPr>
          <w:rFonts w:ascii="Times New Roman" w:hAnsi="Times New Roman" w:cs="Times New Roman"/>
          <w:sz w:val="24"/>
          <w:szCs w:val="24"/>
          <w:lang w:val="en-GB"/>
        </w:rPr>
        <w:t>The number of project partners is unlimited.</w:t>
      </w:r>
    </w:p>
    <w:p w14:paraId="621B450F" w14:textId="5CE06647" w:rsidR="003E1E22" w:rsidRPr="00C540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 The same legal entity may participate as a partner in several projects, but only in one project as an </w:t>
      </w:r>
      <w:r w:rsidR="00926C83"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pplicant</w:t>
      </w:r>
      <w:r w:rsidR="00B402D8">
        <w:rPr>
          <w:rFonts w:ascii="Times New Roman" w:hAnsi="Times New Roman" w:cs="Times New Roman"/>
          <w:sz w:val="24"/>
          <w:szCs w:val="24"/>
          <w:lang w:val="en-GB"/>
        </w:rPr>
        <w:t xml:space="preserve"> (Project Promoter)</w:t>
      </w:r>
      <w:r w:rsidRPr="00C540E2">
        <w:rPr>
          <w:rFonts w:ascii="Times New Roman" w:hAnsi="Times New Roman" w:cs="Times New Roman"/>
          <w:sz w:val="24"/>
          <w:szCs w:val="24"/>
          <w:lang w:val="en-GB"/>
        </w:rPr>
        <w:t>.</w:t>
      </w:r>
    </w:p>
    <w:p w14:paraId="2320C7AA" w14:textId="0326E12B" w:rsidR="003E1E22" w:rsidRPr="00C540E2" w:rsidRDefault="005E5E21"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benefits and contribution </w:t>
      </w:r>
      <w:r w:rsidR="003E1E22" w:rsidRPr="00C540E2">
        <w:rPr>
          <w:rFonts w:ascii="Times New Roman" w:hAnsi="Times New Roman" w:cs="Times New Roman"/>
          <w:sz w:val="24"/>
          <w:szCs w:val="24"/>
          <w:lang w:val="en-GB"/>
        </w:rPr>
        <w:t xml:space="preserve">of a Partner (-s) in the project shall be substantiated in the project application. The Applicant shall choose as partners solely those legal and natural </w:t>
      </w:r>
      <w:r w:rsidR="009D46B6" w:rsidRPr="00C540E2">
        <w:rPr>
          <w:rFonts w:ascii="Times New Roman" w:hAnsi="Times New Roman" w:cs="Times New Roman"/>
          <w:sz w:val="24"/>
          <w:szCs w:val="24"/>
          <w:lang w:val="en-GB"/>
        </w:rPr>
        <w:t xml:space="preserve">persons </w:t>
      </w:r>
      <w:r w:rsidR="003E1E22" w:rsidRPr="00C540E2">
        <w:rPr>
          <w:rFonts w:ascii="Times New Roman" w:hAnsi="Times New Roman" w:cs="Times New Roman"/>
          <w:sz w:val="24"/>
          <w:szCs w:val="24"/>
          <w:lang w:val="en-GB"/>
        </w:rPr>
        <w:t xml:space="preserve">(where applicable), who will make an actual contribution to the activities of the project and / or will actively </w:t>
      </w:r>
      <w:r w:rsidR="003E1E22" w:rsidRPr="00C540E2">
        <w:rPr>
          <w:rFonts w:ascii="Times New Roman" w:hAnsi="Times New Roman" w:cs="Times New Roman"/>
          <w:sz w:val="24"/>
          <w:szCs w:val="24"/>
          <w:lang w:val="en-GB"/>
        </w:rPr>
        <w:lastRenderedPageBreak/>
        <w:t>use the results created in the course of the project. The Applicant shall assess the necessity of the Partner (-s) for the project and the related management difficulties.</w:t>
      </w:r>
    </w:p>
    <w:p w14:paraId="1141D3C7" w14:textId="77777777" w:rsidR="003E1E22" w:rsidRPr="00C540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 or a letter of intent shall be submitted in English, if a partner from a Donor State is at least one party to the partnership agreement or the letter of intent.</w:t>
      </w:r>
    </w:p>
    <w:p w14:paraId="5A79987F" w14:textId="77777777" w:rsidR="00830716" w:rsidRPr="00C540E2" w:rsidRDefault="00830716" w:rsidP="00C540E2">
      <w:pPr>
        <w:pStyle w:val="ListParagraph"/>
        <w:numPr>
          <w:ilvl w:val="0"/>
          <w:numId w:val="3"/>
        </w:numPr>
        <w:spacing w:after="120" w:line="240" w:lineRule="auto"/>
        <w:jc w:val="both"/>
        <w:rPr>
          <w:rStyle w:val="Hyperlink"/>
          <w:rFonts w:ascii="Times New Roman" w:hAnsi="Times New Roman" w:cs="Times New Roman"/>
          <w:color w:val="auto"/>
          <w:sz w:val="24"/>
          <w:szCs w:val="24"/>
          <w:lang w:val="en-GB"/>
        </w:rPr>
      </w:pPr>
      <w:r w:rsidRPr="00C540E2">
        <w:rPr>
          <w:rFonts w:ascii="Times New Roman" w:hAnsi="Times New Roman" w:cs="Times New Roman"/>
          <w:sz w:val="24"/>
          <w:szCs w:val="24"/>
          <w:lang w:val="en-GB"/>
        </w:rPr>
        <w:t xml:space="preserve">The template of the partnership agreement in English is available online: </w:t>
      </w:r>
      <w:r w:rsidRPr="00C540E2">
        <w:rPr>
          <w:rFonts w:ascii="Times New Roman" w:hAnsi="Times New Roman" w:cs="Times New Roman"/>
          <w:sz w:val="24"/>
          <w:szCs w:val="24"/>
          <w:u w:val="single"/>
          <w:lang w:val="en-GB"/>
        </w:rPr>
        <w:fldChar w:fldCharType="begin"/>
      </w:r>
      <w:r w:rsidRPr="00C540E2">
        <w:rPr>
          <w:rFonts w:ascii="Times New Roman" w:hAnsi="Times New Roman" w:cs="Times New Roman"/>
          <w:sz w:val="24"/>
          <w:szCs w:val="24"/>
          <w:u w:val="single"/>
          <w:lang w:val="en-GB"/>
        </w:rPr>
        <w:instrText xml:space="preserve"> HYPERLINK "https://eeagrants.org/resources/2014-2021-bilateral-guideline-annex-6-partnership-agreement-template" </w:instrText>
      </w:r>
      <w:r w:rsidRPr="00C540E2">
        <w:rPr>
          <w:rFonts w:ascii="Times New Roman" w:hAnsi="Times New Roman" w:cs="Times New Roman"/>
          <w:sz w:val="24"/>
          <w:szCs w:val="24"/>
          <w:u w:val="single"/>
          <w:lang w:val="en-GB"/>
        </w:rPr>
        <w:fldChar w:fldCharType="separate"/>
      </w:r>
      <w:r w:rsidRPr="00C540E2">
        <w:rPr>
          <w:rStyle w:val="Hyperlink"/>
          <w:rFonts w:ascii="Times New Roman" w:hAnsi="Times New Roman" w:cs="Times New Roman"/>
          <w:color w:val="auto"/>
          <w:sz w:val="24"/>
          <w:szCs w:val="24"/>
          <w:lang w:val="en-GB"/>
        </w:rPr>
        <w:t xml:space="preserve">https://eeagrants.org/resources/2014-2021-bilateral-guideline-annex-6-partnership-agreement-template. </w:t>
      </w:r>
    </w:p>
    <w:p w14:paraId="10F30AF4" w14:textId="416D3897" w:rsidR="003E1E22" w:rsidRPr="00C540E2" w:rsidRDefault="00830716"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u w:val="single"/>
          <w:lang w:val="en-GB"/>
        </w:rPr>
        <w:fldChar w:fldCharType="end"/>
      </w:r>
      <w:r w:rsidR="003E1E22" w:rsidRPr="00C540E2">
        <w:rPr>
          <w:rFonts w:ascii="Times New Roman" w:hAnsi="Times New Roman" w:cs="Times New Roman"/>
          <w:sz w:val="24"/>
          <w:szCs w:val="24"/>
          <w:lang w:val="en-GB"/>
        </w:rPr>
        <w:t xml:space="preserve">Where a copy of a draft partnership agreement or a signed partnership agreement is submitted along with the application, </w:t>
      </w:r>
      <w:r w:rsidR="00DC7128" w:rsidRPr="00C540E2">
        <w:rPr>
          <w:rFonts w:ascii="Times New Roman" w:hAnsi="Times New Roman" w:cs="Times New Roman"/>
          <w:sz w:val="24"/>
          <w:szCs w:val="24"/>
          <w:lang w:val="en-GB"/>
        </w:rPr>
        <w:t xml:space="preserve">it shall include </w:t>
      </w:r>
      <w:r w:rsidR="003E1E22" w:rsidRPr="00C540E2">
        <w:rPr>
          <w:rFonts w:ascii="Times New Roman" w:hAnsi="Times New Roman" w:cs="Times New Roman"/>
          <w:sz w:val="24"/>
          <w:szCs w:val="24"/>
          <w:lang w:val="en-GB"/>
        </w:rPr>
        <w:t>the following conditions:</w:t>
      </w:r>
    </w:p>
    <w:p w14:paraId="56F7F181" w14:textId="77777777" w:rsidR="003E1E22" w:rsidRPr="00C540E2"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Purpose of the agreement, distribution of tasks between the Applicant and the Partner (-s) in the implementation of the project;</w:t>
      </w:r>
    </w:p>
    <w:p w14:paraId="00F8CAEB" w14:textId="19608796" w:rsidR="003E1E22" w:rsidRPr="009A0266"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Detailed budget of the project, distribution of costs between the Applicant and the Partner (-s), procedure of covering costs of the Partner (-s)</w:t>
      </w:r>
      <w:r w:rsidR="00534309" w:rsidRPr="00C540E2">
        <w:rPr>
          <w:rFonts w:ascii="Times New Roman" w:hAnsi="Times New Roman" w:cs="Times New Roman"/>
          <w:sz w:val="24"/>
          <w:szCs w:val="24"/>
          <w:lang w:val="en-GB"/>
        </w:rPr>
        <w:t xml:space="preserve">, including provisions on the applicable exchange rate if the costs are incurred in a currency other than the euro (in any case, exchange </w:t>
      </w:r>
      <w:r w:rsidR="00534309" w:rsidRPr="009A0266">
        <w:rPr>
          <w:rFonts w:ascii="Times New Roman" w:hAnsi="Times New Roman" w:cs="Times New Roman"/>
          <w:sz w:val="24"/>
          <w:szCs w:val="24"/>
          <w:lang w:val="en-GB"/>
        </w:rPr>
        <w:t>losses are ineligible costs for the project);</w:t>
      </w:r>
    </w:p>
    <w:p w14:paraId="638D3FCF" w14:textId="77777777" w:rsidR="003E1E22" w:rsidRPr="009A0266"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9A0266">
        <w:rPr>
          <w:rFonts w:ascii="Times New Roman" w:hAnsi="Times New Roman" w:cs="Times New Roman"/>
          <w:sz w:val="24"/>
          <w:szCs w:val="24"/>
          <w:lang w:val="en-GB"/>
        </w:rPr>
        <w:t>Provisions on the method of calculation of indirect costs (possible methods are set out in clause 276 of the MAFR) and the maximum possible sum of indirect costs;</w:t>
      </w:r>
    </w:p>
    <w:p w14:paraId="708D2ABD" w14:textId="77777777" w:rsidR="003E1E22" w:rsidRPr="00C540E2" w:rsidRDefault="003E1E22" w:rsidP="00C540E2">
      <w:pPr>
        <w:pStyle w:val="ListParagraph"/>
        <w:numPr>
          <w:ilvl w:val="1"/>
          <w:numId w:val="3"/>
        </w:numPr>
        <w:tabs>
          <w:tab w:val="left" w:pos="993"/>
        </w:tabs>
        <w:spacing w:after="120" w:line="240" w:lineRule="auto"/>
        <w:ind w:left="993" w:hanging="567"/>
        <w:contextualSpacing w:val="0"/>
        <w:jc w:val="both"/>
        <w:rPr>
          <w:rFonts w:ascii="Times New Roman" w:hAnsi="Times New Roman" w:cs="Times New Roman"/>
          <w:sz w:val="24"/>
          <w:szCs w:val="24"/>
          <w:lang w:val="en-GB"/>
        </w:rPr>
      </w:pPr>
      <w:r w:rsidRPr="009A0266">
        <w:rPr>
          <w:rFonts w:ascii="Times New Roman" w:hAnsi="Times New Roman" w:cs="Times New Roman"/>
          <w:sz w:val="24"/>
          <w:szCs w:val="24"/>
          <w:lang w:val="en-GB"/>
        </w:rPr>
        <w:t>Provisions governing the procedure of covering costs incurred by a Project Partner (-s) from a Donor State. Pursuant to clauses 290 and 292 of the MAFR, to account for its costs, a Project Partner from a Donor State may present the following to the Project</w:t>
      </w:r>
      <w:r w:rsidRPr="00C540E2">
        <w:rPr>
          <w:rFonts w:ascii="Times New Roman" w:hAnsi="Times New Roman" w:cs="Times New Roman"/>
          <w:sz w:val="24"/>
          <w:szCs w:val="24"/>
          <w:lang w:val="en-GB"/>
        </w:rPr>
        <w:t xml:space="preserve"> Promoter:</w:t>
      </w:r>
    </w:p>
    <w:p w14:paraId="72AD8CC4" w14:textId="77777777" w:rsidR="003E1E22" w:rsidRPr="00C540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Copies of documents substantiating costs and proof of their payment, or </w:t>
      </w:r>
    </w:p>
    <w:p w14:paraId="06FE4201" w14:textId="1620C8F5" w:rsidR="003E1E22" w:rsidRPr="00C540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w:t>
      </w:r>
      <w:r w:rsidR="0058193A" w:rsidRPr="00C540E2">
        <w:rPr>
          <w:rFonts w:ascii="Times New Roman" w:hAnsi="Times New Roman" w:cs="Times New Roman"/>
          <w:sz w:val="24"/>
          <w:szCs w:val="24"/>
          <w:lang w:val="en-GB"/>
        </w:rPr>
        <w:t xml:space="preserve">report </w:t>
      </w:r>
      <w:r w:rsidRPr="00C540E2">
        <w:rPr>
          <w:rFonts w:ascii="Times New Roman" w:hAnsi="Times New Roman" w:cs="Times New Roman"/>
          <w:sz w:val="24"/>
          <w:szCs w:val="24"/>
          <w:lang w:val="en-GB"/>
        </w:rPr>
        <w:t>signed by the said competent official regarding the eligibility of the costs for financing (according to the form prepared by the Process Working Group confirming that the costs indicated in the conclusion on the eligibility of the costs for financing have been incurred in accordance with the Regulation, national legislation and accounting practices in the partner country</w:t>
      </w:r>
      <w:r w:rsidR="00534309" w:rsidRPr="00C540E2">
        <w:rPr>
          <w:rFonts w:ascii="Times New Roman" w:hAnsi="Times New Roman" w:cs="Times New Roman"/>
          <w:sz w:val="24"/>
          <w:szCs w:val="24"/>
          <w:lang w:val="en-GB"/>
        </w:rPr>
        <w:t>;</w:t>
      </w:r>
    </w:p>
    <w:p w14:paraId="6336CB25" w14:textId="762A3810" w:rsidR="003E1E22" w:rsidRPr="00C540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 confirming that the costs specified in the declaration of costs have been incurred in accordance with the Regulation, national legislation and accounting practices in the project partner’s country. Such a declaration of project partner’s costs shall additionally be signed by a Project Promoter’s representative, certifying that the Project Partner has completed the activities, provided the services, </w:t>
      </w:r>
      <w:r w:rsidRPr="0024718D">
        <w:rPr>
          <w:rFonts w:ascii="Times New Roman" w:hAnsi="Times New Roman" w:cs="Times New Roman"/>
          <w:sz w:val="24"/>
          <w:szCs w:val="24"/>
          <w:lang w:val="en-GB"/>
        </w:rPr>
        <w:t xml:space="preserve">and </w:t>
      </w:r>
      <w:r w:rsidRPr="0024718D">
        <w:rPr>
          <w:rFonts w:ascii="Times New Roman" w:hAnsi="Times New Roman"/>
          <w:sz w:val="24"/>
          <w:lang w:val="en-GB"/>
        </w:rPr>
        <w:t>the Project Promoter is satisfied with the result, while</w:t>
      </w:r>
      <w:r w:rsidRPr="0024718D">
        <w:rPr>
          <w:rFonts w:ascii="Times New Roman" w:hAnsi="Times New Roman" w:cs="Times New Roman"/>
          <w:sz w:val="24"/>
          <w:szCs w:val="24"/>
          <w:lang w:val="en-GB"/>
        </w:rPr>
        <w:t xml:space="preserve"> the expenses incurred are in line with</w:t>
      </w:r>
      <w:r w:rsidRPr="00C540E2">
        <w:rPr>
          <w:rFonts w:ascii="Times New Roman" w:hAnsi="Times New Roman" w:cs="Times New Roman"/>
          <w:sz w:val="24"/>
          <w:szCs w:val="24"/>
          <w:lang w:val="en-GB"/>
        </w:rPr>
        <w:t xml:space="preserve"> the project budget. If the total costs incurred by the Project Partner from a Donor State throughout the entire period of implementation of the project exceed EUR 10 000 (except for expenses, which have been paid in a simplified procedure, at a </w:t>
      </w:r>
      <w:r w:rsidR="00AE0B40" w:rsidRPr="00C540E2">
        <w:rPr>
          <w:rFonts w:ascii="Times New Roman" w:hAnsi="Times New Roman" w:cs="Times New Roman"/>
          <w:sz w:val="24"/>
          <w:szCs w:val="24"/>
          <w:lang w:val="en-GB"/>
        </w:rPr>
        <w:t>unit cost</w:t>
      </w:r>
      <w:r w:rsidRPr="00C540E2">
        <w:rPr>
          <w:rFonts w:ascii="Times New Roman" w:hAnsi="Times New Roman" w:cs="Times New Roman"/>
          <w:sz w:val="24"/>
          <w:szCs w:val="24"/>
          <w:lang w:val="en-GB"/>
        </w:rPr>
        <w:t xml:space="preserve"> and / or a flat rate), a </w:t>
      </w:r>
      <w:r w:rsidR="0058193A" w:rsidRPr="00C540E2">
        <w:rPr>
          <w:rFonts w:ascii="Times New Roman" w:hAnsi="Times New Roman" w:cs="Times New Roman"/>
          <w:sz w:val="24"/>
          <w:szCs w:val="24"/>
          <w:lang w:val="en-GB"/>
        </w:rPr>
        <w:t xml:space="preserve">report </w:t>
      </w:r>
      <w:r w:rsidRPr="00C540E2">
        <w:rPr>
          <w:rFonts w:ascii="Times New Roman" w:hAnsi="Times New Roman" w:cs="Times New Roman"/>
          <w:sz w:val="24"/>
          <w:szCs w:val="24"/>
          <w:lang w:val="en-GB"/>
        </w:rPr>
        <w:t xml:space="preserve">regarding the </w:t>
      </w:r>
      <w:r w:rsidRPr="00C540E2">
        <w:rPr>
          <w:rFonts w:ascii="Times New Roman" w:hAnsi="Times New Roman" w:cs="Times New Roman"/>
          <w:sz w:val="24"/>
          <w:szCs w:val="24"/>
          <w:lang w:val="en-GB"/>
        </w:rPr>
        <w:lastRenderedPageBreak/>
        <w:t xml:space="preserve">eligibility of costs (in the form prepared by the Process Working Group) signed by an independent auditor shall be submitted along with the final payment request for all costs incurred by the Project Partner. </w:t>
      </w:r>
      <w:r w:rsidRPr="00142DB5">
        <w:rPr>
          <w:rFonts w:ascii="Times New Roman" w:hAnsi="Times New Roman" w:cs="Times New Roman"/>
          <w:sz w:val="24"/>
          <w:szCs w:val="24"/>
          <w:lang w:val="en-GB"/>
        </w:rPr>
        <w:t xml:space="preserve">In such a case, a draft partnership agreement (a signed partnership agreement) shall also indicate which </w:t>
      </w:r>
      <w:r w:rsidR="007C5C77" w:rsidRPr="00142DB5">
        <w:rPr>
          <w:rFonts w:ascii="Times New Roman" w:hAnsi="Times New Roman" w:cs="Times New Roman"/>
          <w:sz w:val="24"/>
          <w:szCs w:val="24"/>
          <w:lang w:val="en-GB"/>
        </w:rPr>
        <w:t xml:space="preserve">party of the partnership agreement </w:t>
      </w:r>
      <w:r w:rsidR="00833B45" w:rsidRPr="00142DB5">
        <w:rPr>
          <w:rFonts w:ascii="Times New Roman" w:hAnsi="Times New Roman" w:cs="Times New Roman"/>
          <w:sz w:val="24"/>
          <w:szCs w:val="24"/>
          <w:lang w:val="en-GB"/>
        </w:rPr>
        <w:t xml:space="preserve">(Project Promoter or Donor Project Partner) </w:t>
      </w:r>
      <w:r w:rsidRPr="00142DB5">
        <w:rPr>
          <w:rFonts w:ascii="Times New Roman" w:hAnsi="Times New Roman" w:cs="Times New Roman"/>
          <w:sz w:val="24"/>
          <w:szCs w:val="24"/>
          <w:lang w:val="en-GB"/>
        </w:rPr>
        <w:t xml:space="preserve">shall be the buyer of and the payer for the services of audit of costs of a </w:t>
      </w:r>
      <w:r w:rsidR="00833B45" w:rsidRPr="00142DB5">
        <w:rPr>
          <w:rFonts w:ascii="Times New Roman" w:hAnsi="Times New Roman" w:cs="Times New Roman"/>
          <w:sz w:val="24"/>
          <w:szCs w:val="24"/>
          <w:lang w:val="en-GB"/>
        </w:rPr>
        <w:t xml:space="preserve">Donor </w:t>
      </w:r>
      <w:r w:rsidRPr="00142DB5">
        <w:rPr>
          <w:rFonts w:ascii="Times New Roman" w:hAnsi="Times New Roman" w:cs="Times New Roman"/>
          <w:sz w:val="24"/>
          <w:szCs w:val="24"/>
          <w:lang w:val="en-GB"/>
        </w:rPr>
        <w:t>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r w:rsidR="00142DB5">
        <w:rPr>
          <w:rFonts w:ascii="Times New Roman" w:hAnsi="Times New Roman" w:cs="Times New Roman"/>
          <w:sz w:val="24"/>
          <w:szCs w:val="24"/>
          <w:lang w:val="en-GB"/>
        </w:rPr>
        <w:t xml:space="preserve"> </w:t>
      </w:r>
    </w:p>
    <w:p w14:paraId="4A376A2F" w14:textId="04071C21" w:rsidR="00E97D0B" w:rsidRPr="00C540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r w:rsidR="00E97D0B" w:rsidRPr="00C540E2">
        <w:rPr>
          <w:rFonts w:ascii="Times New Roman" w:hAnsi="Times New Roman" w:cs="Times New Roman"/>
          <w:sz w:val="24"/>
          <w:szCs w:val="24"/>
          <w:lang w:val="en-GB"/>
        </w:rPr>
        <w:t>.</w:t>
      </w:r>
    </w:p>
    <w:p w14:paraId="78EC92D7" w14:textId="7D34C240" w:rsidR="00E97D0B" w:rsidRPr="00C540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provision that the Project Partner shall store documents of substantiation of costs and evidence of their payment in observance of provisions of applicable legislation, but not less than specified in the project </w:t>
      </w:r>
      <w:r w:rsidR="0081545D" w:rsidRPr="00C540E2">
        <w:rPr>
          <w:rFonts w:ascii="Times New Roman" w:hAnsi="Times New Roman" w:cs="Times New Roman"/>
          <w:sz w:val="24"/>
          <w:szCs w:val="24"/>
          <w:lang w:val="en-GB"/>
        </w:rPr>
        <w:t>contract</w:t>
      </w:r>
      <w:r w:rsidRPr="00C540E2">
        <w:rPr>
          <w:rFonts w:ascii="Times New Roman" w:hAnsi="Times New Roman" w:cs="Times New Roman"/>
          <w:sz w:val="24"/>
          <w:szCs w:val="24"/>
          <w:lang w:val="en-GB"/>
        </w:rPr>
        <w:t>;</w:t>
      </w:r>
    </w:p>
    <w:p w14:paraId="03ABFF89" w14:textId="21BBFDA7" w:rsidR="00183DA1" w:rsidRPr="00C540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provision that the Project Partner </w:t>
      </w:r>
      <w:r w:rsidRPr="00C540E2">
        <w:rPr>
          <w:rFonts w:ascii="Times New Roman" w:hAnsi="Times New Roman" w:cs="Times New Roman"/>
          <w:sz w:val="24"/>
          <w:szCs w:val="24"/>
          <w:lang w:val="en-US"/>
        </w:rPr>
        <w:t>shall create conditions for inspecting and auditing project and project-related documents for institutions entitled to do that in the implementation of the programme</w:t>
      </w:r>
      <w:r w:rsidRPr="00C540E2">
        <w:rPr>
          <w:rFonts w:ascii="Times New Roman" w:hAnsi="Times New Roman" w:cs="Times New Roman"/>
          <w:sz w:val="24"/>
          <w:szCs w:val="24"/>
          <w:lang w:val="en-GB"/>
        </w:rPr>
        <w:t>;</w:t>
      </w:r>
    </w:p>
    <w:p w14:paraId="01FB8BBF" w14:textId="32D41C93" w:rsidR="008E3742" w:rsidRPr="00C540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The provision regarding dispute resolution.</w:t>
      </w:r>
    </w:p>
    <w:p w14:paraId="1B54BB03" w14:textId="2F27AEBE" w:rsidR="00183DA1" w:rsidRPr="00C540E2" w:rsidRDefault="00183DA1"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provision stating that the project budget, breakdown of costs between the applicant and the partner (s), the method of calculation of indirect costs and their maximum amount, set in the partnership agreement </w:t>
      </w:r>
      <w:r w:rsidR="008E3742" w:rsidRPr="00C540E2">
        <w:rPr>
          <w:rFonts w:ascii="Times New Roman" w:hAnsi="Times New Roman" w:cs="Times New Roman"/>
          <w:sz w:val="24"/>
          <w:szCs w:val="24"/>
          <w:lang w:val="en-GB"/>
        </w:rPr>
        <w:t xml:space="preserve">or its draft, prepared before submitting a project application, </w:t>
      </w:r>
      <w:r w:rsidRPr="00C540E2">
        <w:rPr>
          <w:rFonts w:ascii="Times New Roman" w:hAnsi="Times New Roman" w:cs="Times New Roman"/>
          <w:sz w:val="24"/>
          <w:szCs w:val="24"/>
          <w:lang w:val="en-GB"/>
        </w:rPr>
        <w:t xml:space="preserve"> </w:t>
      </w:r>
      <w:r w:rsidR="008E3742" w:rsidRPr="00C540E2">
        <w:rPr>
          <w:rFonts w:ascii="Times New Roman" w:hAnsi="Times New Roman" w:cs="Times New Roman"/>
          <w:sz w:val="24"/>
          <w:szCs w:val="24"/>
          <w:lang w:val="en-GB"/>
        </w:rPr>
        <w:t>may vary according to the amount of eligible costs determined during the evaluation of the application.  In case the project budget changes, the partnership agreement will have to be modified.</w:t>
      </w:r>
    </w:p>
    <w:p w14:paraId="2186D941" w14:textId="2197E88B" w:rsidR="008E3742" w:rsidRPr="00C540E2" w:rsidRDefault="006D59CF" w:rsidP="00C540E2">
      <w:pPr>
        <w:pStyle w:val="ListParagraph"/>
        <w:numPr>
          <w:ilvl w:val="0"/>
          <w:numId w:val="3"/>
        </w:numPr>
        <w:spacing w:after="120" w:line="240" w:lineRule="auto"/>
        <w:jc w:val="both"/>
        <w:rPr>
          <w:rFonts w:ascii="Times New Roman" w:hAnsi="Times New Roman" w:cs="Times New Roman"/>
          <w:sz w:val="24"/>
          <w:szCs w:val="24"/>
          <w:lang w:val="en-GB"/>
        </w:rPr>
      </w:pPr>
      <w:bookmarkStart w:id="10" w:name="_Hlk18088026"/>
      <w:bookmarkEnd w:id="8"/>
      <w:r w:rsidRPr="00C540E2">
        <w:rPr>
          <w:rFonts w:ascii="Times New Roman" w:hAnsi="Times New Roman" w:cs="Times New Roman"/>
          <w:sz w:val="24"/>
          <w:szCs w:val="24"/>
          <w:lang w:val="en-GB"/>
        </w:rPr>
        <w:t xml:space="preserve">Where a letter of intent </w:t>
      </w:r>
      <w:r w:rsidR="008E3742" w:rsidRPr="00C540E2">
        <w:rPr>
          <w:rFonts w:ascii="Times New Roman" w:hAnsi="Times New Roman" w:cs="Times New Roman"/>
          <w:sz w:val="24"/>
          <w:szCs w:val="24"/>
          <w:lang w:val="en-GB"/>
        </w:rPr>
        <w:t xml:space="preserve">to sign partnership agreement </w:t>
      </w:r>
      <w:r w:rsidRPr="00C540E2">
        <w:rPr>
          <w:rFonts w:ascii="Times New Roman" w:hAnsi="Times New Roman" w:cs="Times New Roman"/>
          <w:sz w:val="24"/>
          <w:szCs w:val="24"/>
          <w:lang w:val="en-GB"/>
        </w:rPr>
        <w:t>is submitted along with the application,</w:t>
      </w:r>
      <w:r w:rsidR="00174AE9" w:rsidRPr="00C540E2">
        <w:rPr>
          <w:rFonts w:ascii="Times New Roman" w:hAnsi="Times New Roman" w:cs="Times New Roman"/>
          <w:sz w:val="24"/>
          <w:szCs w:val="24"/>
          <w:lang w:val="en-GB"/>
        </w:rPr>
        <w:t xml:space="preserve"> it shall include at least the </w:t>
      </w:r>
      <w:r w:rsidRPr="00C540E2">
        <w:rPr>
          <w:rFonts w:ascii="Times New Roman" w:hAnsi="Times New Roman" w:cs="Times New Roman"/>
          <w:sz w:val="24"/>
          <w:szCs w:val="24"/>
          <w:lang w:val="en-GB"/>
        </w:rPr>
        <w:t>following conditions</w:t>
      </w:r>
      <w:r w:rsidR="00174AE9" w:rsidRPr="00C540E2">
        <w:rPr>
          <w:rFonts w:ascii="Times New Roman" w:hAnsi="Times New Roman" w:cs="Times New Roman"/>
          <w:sz w:val="24"/>
          <w:szCs w:val="24"/>
          <w:lang w:val="en-GB"/>
        </w:rPr>
        <w:t>:</w:t>
      </w:r>
    </w:p>
    <w:p w14:paraId="30FA9406" w14:textId="14E89D54" w:rsidR="002873F9" w:rsidRPr="00C540E2" w:rsidRDefault="003B3ADE" w:rsidP="00C540E2">
      <w:pPr>
        <w:pStyle w:val="ListParagraph"/>
        <w:numPr>
          <w:ilvl w:val="1"/>
          <w:numId w:val="3"/>
        </w:numPr>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The purpose of the letter of intent</w:t>
      </w:r>
      <w:r w:rsidR="002873F9"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 xml:space="preserve">distribution of tasks between the Applicant and the </w:t>
      </w:r>
      <w:r w:rsidR="00804AD4" w:rsidRPr="00C540E2">
        <w:rPr>
          <w:rFonts w:ascii="Times New Roman" w:hAnsi="Times New Roman" w:cs="Times New Roman"/>
          <w:sz w:val="24"/>
          <w:szCs w:val="24"/>
          <w:lang w:val="en-GB"/>
        </w:rPr>
        <w:t>P</w:t>
      </w:r>
      <w:r w:rsidRPr="00C540E2">
        <w:rPr>
          <w:rFonts w:ascii="Times New Roman" w:hAnsi="Times New Roman" w:cs="Times New Roman"/>
          <w:sz w:val="24"/>
          <w:szCs w:val="24"/>
          <w:lang w:val="en-GB"/>
        </w:rPr>
        <w:t>artner (-s) in the implementation of the project</w:t>
      </w:r>
      <w:r w:rsidR="002873F9" w:rsidRPr="00C540E2">
        <w:rPr>
          <w:rFonts w:ascii="Times New Roman" w:hAnsi="Times New Roman" w:cs="Times New Roman"/>
          <w:sz w:val="24"/>
          <w:szCs w:val="24"/>
          <w:lang w:val="en-GB"/>
        </w:rPr>
        <w:t>;</w:t>
      </w:r>
    </w:p>
    <w:p w14:paraId="180D79FB" w14:textId="0EBFC7BD" w:rsidR="002873F9" w:rsidRPr="00C540E2" w:rsidRDefault="00CF4C78" w:rsidP="00C540E2">
      <w:pPr>
        <w:pStyle w:val="ListParagraph"/>
        <w:numPr>
          <w:ilvl w:val="1"/>
          <w:numId w:val="3"/>
        </w:numPr>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Detailed project budget</w:t>
      </w:r>
      <w:r w:rsidR="002873F9"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 xml:space="preserve">distribution of </w:t>
      </w:r>
      <w:r w:rsidR="00804AD4" w:rsidRPr="00C540E2">
        <w:rPr>
          <w:rFonts w:ascii="Times New Roman" w:hAnsi="Times New Roman" w:cs="Times New Roman"/>
          <w:sz w:val="24"/>
          <w:szCs w:val="24"/>
          <w:lang w:val="en-GB"/>
        </w:rPr>
        <w:t>costs</w:t>
      </w:r>
      <w:r w:rsidRPr="00C540E2">
        <w:rPr>
          <w:rFonts w:ascii="Times New Roman" w:hAnsi="Times New Roman" w:cs="Times New Roman"/>
          <w:sz w:val="24"/>
          <w:szCs w:val="24"/>
          <w:lang w:val="en-GB"/>
        </w:rPr>
        <w:t xml:space="preserve"> between the Applicant and the </w:t>
      </w:r>
      <w:r w:rsidR="00804AD4" w:rsidRPr="00C540E2">
        <w:rPr>
          <w:rFonts w:ascii="Times New Roman" w:hAnsi="Times New Roman" w:cs="Times New Roman"/>
          <w:sz w:val="24"/>
          <w:szCs w:val="24"/>
          <w:lang w:val="en-GB"/>
        </w:rPr>
        <w:t>P</w:t>
      </w:r>
      <w:r w:rsidRPr="00C540E2">
        <w:rPr>
          <w:rFonts w:ascii="Times New Roman" w:hAnsi="Times New Roman" w:cs="Times New Roman"/>
          <w:sz w:val="24"/>
          <w:szCs w:val="24"/>
          <w:lang w:val="en-GB"/>
        </w:rPr>
        <w:t>artner (-s)</w:t>
      </w:r>
      <w:r w:rsidR="002873F9" w:rsidRPr="00C540E2">
        <w:rPr>
          <w:rFonts w:ascii="Times New Roman" w:hAnsi="Times New Roman" w:cs="Times New Roman"/>
          <w:sz w:val="24"/>
          <w:szCs w:val="24"/>
          <w:lang w:val="en-GB"/>
        </w:rPr>
        <w:t>.</w:t>
      </w:r>
    </w:p>
    <w:p w14:paraId="686D5867" w14:textId="5BC0D118" w:rsidR="0027058E" w:rsidRPr="00C540E2" w:rsidRDefault="00CF4C78"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Where a draft partnership agreement or a letter of intent is submitted along with the application, a copy of a signed partnership agreement shall be submitted to the programme operator before signing a project </w:t>
      </w:r>
      <w:r w:rsidR="0081545D" w:rsidRPr="00C540E2">
        <w:rPr>
          <w:rFonts w:ascii="Times New Roman" w:hAnsi="Times New Roman" w:cs="Times New Roman"/>
          <w:sz w:val="24"/>
          <w:szCs w:val="24"/>
          <w:lang w:val="en-GB"/>
        </w:rPr>
        <w:t>contract</w:t>
      </w:r>
      <w:r w:rsidR="002873F9" w:rsidRPr="00C540E2">
        <w:rPr>
          <w:rFonts w:ascii="Times New Roman" w:hAnsi="Times New Roman" w:cs="Times New Roman"/>
          <w:sz w:val="24"/>
          <w:szCs w:val="24"/>
          <w:lang w:val="en-GB"/>
        </w:rPr>
        <w:t>.</w:t>
      </w:r>
    </w:p>
    <w:bookmarkEnd w:id="10"/>
    <w:p w14:paraId="0A491E8A" w14:textId="43FFEB2B" w:rsidR="00AB18F3" w:rsidRPr="00C540E2" w:rsidRDefault="00CF4C78" w:rsidP="00C540E2">
      <w:pPr>
        <w:pStyle w:val="ListParagraph"/>
        <w:numPr>
          <w:ilvl w:val="0"/>
          <w:numId w:val="3"/>
        </w:numPr>
        <w:spacing w:after="120" w:line="240" w:lineRule="auto"/>
        <w:jc w:val="both"/>
        <w:rPr>
          <w:rFonts w:ascii="Times New Roman" w:hAnsi="Times New Roman" w:cs="Times New Roman"/>
          <w:sz w:val="24"/>
          <w:szCs w:val="24"/>
          <w:lang w:val="en-GB"/>
        </w:rPr>
      </w:pPr>
      <w:r w:rsidRPr="31BA2C24">
        <w:rPr>
          <w:rFonts w:ascii="Times New Roman" w:hAnsi="Times New Roman" w:cs="Times New Roman"/>
          <w:sz w:val="24"/>
          <w:szCs w:val="24"/>
          <w:lang w:val="en-GB"/>
        </w:rPr>
        <w:t xml:space="preserve">The </w:t>
      </w:r>
      <w:r w:rsidR="00F20647" w:rsidRPr="31BA2C24">
        <w:rPr>
          <w:rFonts w:ascii="Times New Roman" w:hAnsi="Times New Roman" w:cs="Times New Roman"/>
          <w:sz w:val="24"/>
          <w:szCs w:val="24"/>
          <w:lang w:val="en-GB"/>
        </w:rPr>
        <w:t>P</w:t>
      </w:r>
      <w:r w:rsidRPr="31BA2C24">
        <w:rPr>
          <w:rFonts w:ascii="Times New Roman" w:hAnsi="Times New Roman" w:cs="Times New Roman"/>
          <w:sz w:val="24"/>
          <w:szCs w:val="24"/>
          <w:lang w:val="en-GB"/>
        </w:rPr>
        <w:t xml:space="preserve">artner (-s) shall participate in the implementation of the project and </w:t>
      </w:r>
      <w:r w:rsidR="00F20647" w:rsidRPr="31BA2C24">
        <w:rPr>
          <w:rFonts w:ascii="Times New Roman" w:hAnsi="Times New Roman" w:cs="Times New Roman"/>
          <w:sz w:val="24"/>
          <w:szCs w:val="24"/>
          <w:lang w:val="en-GB"/>
        </w:rPr>
        <w:t xml:space="preserve">shall </w:t>
      </w:r>
      <w:r w:rsidRPr="31BA2C24">
        <w:rPr>
          <w:rFonts w:ascii="Times New Roman" w:hAnsi="Times New Roman" w:cs="Times New Roman"/>
          <w:sz w:val="24"/>
          <w:szCs w:val="24"/>
          <w:lang w:val="en-GB"/>
        </w:rPr>
        <w:t xml:space="preserve">use its results or products, however the </w:t>
      </w:r>
      <w:r w:rsidR="00F20647" w:rsidRPr="31BA2C24">
        <w:rPr>
          <w:rFonts w:ascii="Times New Roman" w:hAnsi="Times New Roman" w:cs="Times New Roman"/>
          <w:sz w:val="24"/>
          <w:szCs w:val="24"/>
          <w:lang w:val="en-GB"/>
        </w:rPr>
        <w:t>A</w:t>
      </w:r>
      <w:r w:rsidRPr="31BA2C24">
        <w:rPr>
          <w:rFonts w:ascii="Times New Roman" w:hAnsi="Times New Roman" w:cs="Times New Roman"/>
          <w:sz w:val="24"/>
          <w:szCs w:val="24"/>
          <w:lang w:val="en-GB"/>
        </w:rPr>
        <w:t xml:space="preserve">pplicant shall be responsible for proper implementation, coordination of the project and the use of funds. Where mechanism funds and co-financing funds are allocated for the project, </w:t>
      </w:r>
      <w:r w:rsidR="00F20647" w:rsidRPr="31BA2C24">
        <w:rPr>
          <w:rFonts w:ascii="Times New Roman" w:hAnsi="Times New Roman" w:cs="Times New Roman"/>
          <w:sz w:val="24"/>
          <w:szCs w:val="24"/>
          <w:lang w:val="en-GB"/>
        </w:rPr>
        <w:t>a</w:t>
      </w:r>
      <w:r w:rsidRPr="31BA2C24">
        <w:rPr>
          <w:rFonts w:ascii="Times New Roman" w:hAnsi="Times New Roman" w:cs="Times New Roman"/>
          <w:sz w:val="24"/>
          <w:szCs w:val="24"/>
          <w:lang w:val="en-GB"/>
        </w:rPr>
        <w:t xml:space="preserve"> project </w:t>
      </w:r>
      <w:r w:rsidR="0081545D" w:rsidRPr="31BA2C24">
        <w:rPr>
          <w:rFonts w:ascii="Times New Roman" w:hAnsi="Times New Roman" w:cs="Times New Roman"/>
          <w:sz w:val="24"/>
          <w:szCs w:val="24"/>
          <w:lang w:val="en-GB"/>
        </w:rPr>
        <w:t>contract</w:t>
      </w:r>
      <w:r w:rsidRPr="31BA2C24">
        <w:rPr>
          <w:rFonts w:ascii="Times New Roman" w:hAnsi="Times New Roman" w:cs="Times New Roman"/>
          <w:sz w:val="24"/>
          <w:szCs w:val="24"/>
          <w:lang w:val="en-GB"/>
        </w:rPr>
        <w:t xml:space="preserve"> shall be concluded with the </w:t>
      </w:r>
      <w:r w:rsidR="00F20647" w:rsidRPr="31BA2C24">
        <w:rPr>
          <w:rFonts w:ascii="Times New Roman" w:hAnsi="Times New Roman" w:cs="Times New Roman"/>
          <w:sz w:val="24"/>
          <w:szCs w:val="24"/>
          <w:lang w:val="en-GB"/>
        </w:rPr>
        <w:t>A</w:t>
      </w:r>
      <w:r w:rsidRPr="31BA2C24">
        <w:rPr>
          <w:rFonts w:ascii="Times New Roman" w:hAnsi="Times New Roman" w:cs="Times New Roman"/>
          <w:sz w:val="24"/>
          <w:szCs w:val="24"/>
          <w:lang w:val="en-GB"/>
        </w:rPr>
        <w:t xml:space="preserve">pplicant, who </w:t>
      </w:r>
      <w:r w:rsidR="00F20647" w:rsidRPr="31BA2C24">
        <w:rPr>
          <w:rFonts w:ascii="Times New Roman" w:hAnsi="Times New Roman" w:cs="Times New Roman"/>
          <w:sz w:val="24"/>
          <w:szCs w:val="24"/>
          <w:lang w:val="en-GB"/>
        </w:rPr>
        <w:t>shall</w:t>
      </w:r>
      <w:r w:rsidRPr="31BA2C24">
        <w:rPr>
          <w:rFonts w:ascii="Times New Roman" w:hAnsi="Times New Roman" w:cs="Times New Roman"/>
          <w:sz w:val="24"/>
          <w:szCs w:val="24"/>
          <w:lang w:val="en-GB"/>
        </w:rPr>
        <w:t xml:space="preserve"> become a </w:t>
      </w:r>
      <w:r w:rsidR="00F20647" w:rsidRPr="31BA2C24">
        <w:rPr>
          <w:rFonts w:ascii="Times New Roman" w:hAnsi="Times New Roman" w:cs="Times New Roman"/>
          <w:sz w:val="24"/>
          <w:szCs w:val="24"/>
          <w:lang w:val="en-GB"/>
        </w:rPr>
        <w:t>P</w:t>
      </w:r>
      <w:r w:rsidRPr="31BA2C24">
        <w:rPr>
          <w:rFonts w:ascii="Times New Roman" w:hAnsi="Times New Roman" w:cs="Times New Roman"/>
          <w:sz w:val="24"/>
          <w:szCs w:val="24"/>
          <w:lang w:val="en-GB"/>
        </w:rPr>
        <w:t xml:space="preserve">roject </w:t>
      </w:r>
      <w:r w:rsidR="00F20647" w:rsidRPr="31BA2C24">
        <w:rPr>
          <w:rFonts w:ascii="Times New Roman" w:hAnsi="Times New Roman" w:cs="Times New Roman"/>
          <w:sz w:val="24"/>
          <w:szCs w:val="24"/>
          <w:lang w:val="en-GB"/>
        </w:rPr>
        <w:t>P</w:t>
      </w:r>
      <w:r w:rsidRPr="31BA2C24">
        <w:rPr>
          <w:rFonts w:ascii="Times New Roman" w:hAnsi="Times New Roman" w:cs="Times New Roman"/>
          <w:sz w:val="24"/>
          <w:szCs w:val="24"/>
          <w:lang w:val="en-GB"/>
        </w:rPr>
        <w:t xml:space="preserve">romoter </w:t>
      </w:r>
      <w:r w:rsidR="00F20647" w:rsidRPr="31BA2C24">
        <w:rPr>
          <w:rFonts w:ascii="Times New Roman" w:hAnsi="Times New Roman" w:cs="Times New Roman"/>
          <w:sz w:val="24"/>
          <w:szCs w:val="24"/>
          <w:lang w:val="en-GB"/>
        </w:rPr>
        <w:t xml:space="preserve">as </w:t>
      </w:r>
      <w:r w:rsidRPr="31BA2C24">
        <w:rPr>
          <w:rFonts w:ascii="Times New Roman" w:hAnsi="Times New Roman" w:cs="Times New Roman"/>
          <w:sz w:val="24"/>
          <w:szCs w:val="24"/>
          <w:lang w:val="en-GB"/>
        </w:rPr>
        <w:t xml:space="preserve">from the date of signing the project </w:t>
      </w:r>
      <w:r w:rsidR="0081545D" w:rsidRPr="31BA2C24">
        <w:rPr>
          <w:rFonts w:ascii="Times New Roman" w:hAnsi="Times New Roman" w:cs="Times New Roman"/>
          <w:sz w:val="24"/>
          <w:szCs w:val="24"/>
          <w:lang w:val="en-GB"/>
        </w:rPr>
        <w:t>contract</w:t>
      </w:r>
      <w:r w:rsidRPr="31BA2C24">
        <w:rPr>
          <w:rFonts w:ascii="Times New Roman" w:hAnsi="Times New Roman" w:cs="Times New Roman"/>
          <w:sz w:val="24"/>
          <w:szCs w:val="24"/>
          <w:lang w:val="en-GB"/>
        </w:rPr>
        <w:t xml:space="preserve">. Mechanism funds and co-financing funds allocated for the implementation of the entire project shall be paid directly to the </w:t>
      </w:r>
      <w:r w:rsidR="00F20647" w:rsidRPr="31BA2C24">
        <w:rPr>
          <w:rFonts w:ascii="Times New Roman" w:hAnsi="Times New Roman" w:cs="Times New Roman"/>
          <w:sz w:val="24"/>
          <w:szCs w:val="24"/>
          <w:lang w:val="en-GB"/>
        </w:rPr>
        <w:t>Project Promote</w:t>
      </w:r>
      <w:r w:rsidR="0063241C" w:rsidRPr="31BA2C24">
        <w:rPr>
          <w:rFonts w:ascii="Times New Roman" w:hAnsi="Times New Roman" w:cs="Times New Roman"/>
          <w:sz w:val="24"/>
          <w:szCs w:val="24"/>
          <w:lang w:val="en-GB"/>
        </w:rPr>
        <w:t>r</w:t>
      </w:r>
      <w:r w:rsidRPr="31BA2C24">
        <w:rPr>
          <w:rFonts w:ascii="Times New Roman" w:hAnsi="Times New Roman" w:cs="Times New Roman"/>
          <w:sz w:val="24"/>
          <w:szCs w:val="24"/>
          <w:lang w:val="en-GB"/>
        </w:rPr>
        <w:t xml:space="preserve">, who shall then settle with the </w:t>
      </w:r>
      <w:r w:rsidR="00F20647" w:rsidRPr="31BA2C24">
        <w:rPr>
          <w:rFonts w:ascii="Times New Roman" w:hAnsi="Times New Roman" w:cs="Times New Roman"/>
          <w:sz w:val="24"/>
          <w:szCs w:val="24"/>
          <w:lang w:val="en-GB"/>
        </w:rPr>
        <w:t>P</w:t>
      </w:r>
      <w:r w:rsidRPr="31BA2C24">
        <w:rPr>
          <w:rFonts w:ascii="Times New Roman" w:hAnsi="Times New Roman" w:cs="Times New Roman"/>
          <w:sz w:val="24"/>
          <w:szCs w:val="24"/>
          <w:lang w:val="en-GB"/>
        </w:rPr>
        <w:t>artner (-s)</w:t>
      </w:r>
      <w:r w:rsidR="00AB18F3" w:rsidRPr="31BA2C24">
        <w:rPr>
          <w:rFonts w:ascii="Times New Roman" w:hAnsi="Times New Roman" w:cs="Times New Roman"/>
          <w:sz w:val="24"/>
          <w:szCs w:val="24"/>
          <w:lang w:val="en-GB"/>
        </w:rPr>
        <w:t>.</w:t>
      </w:r>
    </w:p>
    <w:p w14:paraId="058A1EB1" w14:textId="1055AA26" w:rsidR="004633B4" w:rsidRPr="00C540E2" w:rsidRDefault="004633B4" w:rsidP="00C540E2">
      <w:pPr>
        <w:pStyle w:val="ListParagraph"/>
        <w:spacing w:after="120" w:line="240" w:lineRule="auto"/>
        <w:ind w:left="360"/>
        <w:jc w:val="both"/>
        <w:rPr>
          <w:rFonts w:ascii="Times New Roman" w:hAnsi="Times New Roman" w:cs="Times New Roman"/>
          <w:sz w:val="24"/>
          <w:szCs w:val="24"/>
          <w:lang w:val="en-GB"/>
        </w:rPr>
      </w:pPr>
    </w:p>
    <w:p w14:paraId="00641AC9" w14:textId="6CB5EDDD" w:rsidR="002B3D48" w:rsidRPr="00C540E2" w:rsidRDefault="00CC6BA2"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Eligible projects</w:t>
      </w:r>
    </w:p>
    <w:p w14:paraId="74D0269C" w14:textId="77777777" w:rsidR="004633B4" w:rsidRPr="00C540E2" w:rsidRDefault="004633B4" w:rsidP="00C540E2">
      <w:pPr>
        <w:pStyle w:val="ListParagraph"/>
        <w:spacing w:after="120" w:line="240" w:lineRule="auto"/>
        <w:ind w:left="1080"/>
        <w:rPr>
          <w:rFonts w:ascii="Times New Roman" w:hAnsi="Times New Roman" w:cs="Times New Roman"/>
          <w:b/>
          <w:bCs/>
          <w:sz w:val="24"/>
          <w:szCs w:val="24"/>
          <w:lang w:val="en-GB"/>
        </w:rPr>
      </w:pPr>
    </w:p>
    <w:p w14:paraId="65E75BA5" w14:textId="156E528E" w:rsidR="00F441FB" w:rsidRPr="00C540E2" w:rsidRDefault="00CC6BA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Financing shall be allocated for projects that contribute to the pursuit of objectives of the Programme and this open call</w:t>
      </w:r>
      <w:r w:rsidR="001A272D" w:rsidRPr="00C540E2">
        <w:rPr>
          <w:rFonts w:ascii="Times New Roman" w:hAnsi="Times New Roman" w:cs="Times New Roman"/>
          <w:sz w:val="24"/>
          <w:szCs w:val="24"/>
          <w:lang w:val="en-GB"/>
        </w:rPr>
        <w:t xml:space="preserve">, and </w:t>
      </w:r>
      <w:r w:rsidRPr="00C540E2">
        <w:rPr>
          <w:rFonts w:ascii="Times New Roman" w:hAnsi="Times New Roman" w:cs="Times New Roman"/>
          <w:sz w:val="24"/>
          <w:szCs w:val="24"/>
          <w:lang w:val="en-GB"/>
        </w:rPr>
        <w:t xml:space="preserve">that meet the following </w:t>
      </w:r>
      <w:r w:rsidR="000F3E30" w:rsidRPr="00C540E2">
        <w:rPr>
          <w:rFonts w:ascii="Times New Roman" w:hAnsi="Times New Roman" w:cs="Times New Roman"/>
          <w:sz w:val="24"/>
          <w:szCs w:val="24"/>
          <w:lang w:val="en-GB"/>
        </w:rPr>
        <w:t xml:space="preserve">special </w:t>
      </w:r>
      <w:r w:rsidR="006759DE" w:rsidRPr="00C540E2">
        <w:rPr>
          <w:rFonts w:ascii="Times New Roman" w:hAnsi="Times New Roman" w:cs="Times New Roman"/>
          <w:sz w:val="24"/>
          <w:szCs w:val="24"/>
          <w:lang w:val="en-GB"/>
        </w:rPr>
        <w:t xml:space="preserve">project </w:t>
      </w:r>
      <w:r w:rsidR="000F3E30" w:rsidRPr="00C540E2">
        <w:rPr>
          <w:rFonts w:ascii="Times New Roman" w:hAnsi="Times New Roman" w:cs="Times New Roman"/>
          <w:sz w:val="24"/>
          <w:szCs w:val="24"/>
          <w:lang w:val="en-GB"/>
        </w:rPr>
        <w:t>eligibility criteria</w:t>
      </w:r>
      <w:r w:rsidR="000B7B8F" w:rsidRPr="00C540E2">
        <w:rPr>
          <w:rFonts w:ascii="Times New Roman" w:hAnsi="Times New Roman" w:cs="Times New Roman"/>
          <w:sz w:val="24"/>
          <w:szCs w:val="24"/>
          <w:lang w:val="en-GB"/>
        </w:rPr>
        <w:t xml:space="preserve"> (</w:t>
      </w:r>
      <w:r w:rsidR="00F441FB" w:rsidRPr="00C540E2">
        <w:rPr>
          <w:rFonts w:ascii="Times New Roman" w:hAnsi="Times New Roman" w:cs="Times New Roman"/>
          <w:sz w:val="24"/>
          <w:szCs w:val="24"/>
          <w:lang w:val="en-GB"/>
        </w:rPr>
        <w:t>all criteria listed below are mandatory for all Projects</w:t>
      </w:r>
      <w:r w:rsidR="000B7B8F" w:rsidRPr="00C540E2">
        <w:rPr>
          <w:rFonts w:ascii="Times New Roman" w:hAnsi="Times New Roman" w:cs="Times New Roman"/>
          <w:sz w:val="24"/>
          <w:szCs w:val="24"/>
          <w:lang w:val="en-GB"/>
        </w:rPr>
        <w:t>)</w:t>
      </w:r>
      <w:r w:rsidR="00F441FB" w:rsidRPr="00C540E2">
        <w:rPr>
          <w:rFonts w:ascii="Times New Roman" w:hAnsi="Times New Roman" w:cs="Times New Roman"/>
          <w:sz w:val="24"/>
          <w:szCs w:val="24"/>
          <w:lang w:val="en-GB"/>
        </w:rPr>
        <w:t>:</w:t>
      </w:r>
    </w:p>
    <w:p w14:paraId="7F00F945" w14:textId="767EB2BA" w:rsidR="00F441FB" w:rsidRPr="00C540E2" w:rsidRDefault="00F441FB" w:rsidP="00C540E2">
      <w:pPr>
        <w:pStyle w:val="ListParagraph"/>
        <w:numPr>
          <w:ilvl w:val="1"/>
          <w:numId w:val="3"/>
        </w:numPr>
        <w:tabs>
          <w:tab w:val="left" w:pos="851"/>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lastRenderedPageBreak/>
        <w:t xml:space="preserve">at least 4 algorithms (listed in Annex 1 to the Guidelines) must be implemented/developed during the Project; </w:t>
      </w:r>
    </w:p>
    <w:p w14:paraId="6367D2DC" w14:textId="786BEFA6" w:rsidR="00F441FB" w:rsidRPr="00C540E2" w:rsidRDefault="00F441FB" w:rsidP="00C540E2">
      <w:pPr>
        <w:pStyle w:val="ListParagraph"/>
        <w:numPr>
          <w:ilvl w:val="1"/>
          <w:numId w:val="3"/>
        </w:numPr>
        <w:tabs>
          <w:tab w:val="left" w:pos="851"/>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 at least one Personal Healthcare Facility must be involved in the implementation/development of the Model; </w:t>
      </w:r>
    </w:p>
    <w:p w14:paraId="2111396F" w14:textId="105FA9CE" w:rsidR="00F441FB" w:rsidRPr="00C540E2" w:rsidRDefault="00F441FB" w:rsidP="00C540E2">
      <w:pPr>
        <w:pStyle w:val="ListParagraph"/>
        <w:numPr>
          <w:ilvl w:val="1"/>
          <w:numId w:val="3"/>
        </w:numPr>
        <w:tabs>
          <w:tab w:val="left" w:pos="851"/>
          <w:tab w:val="left" w:pos="993"/>
          <w:tab w:val="left" w:pos="1134"/>
        </w:tabs>
        <w:spacing w:after="120" w:line="240" w:lineRule="auto"/>
        <w:jc w:val="both"/>
        <w:rPr>
          <w:rFonts w:ascii="Times New Roman" w:hAnsi="Times New Roman" w:cs="Times New Roman"/>
          <w:sz w:val="24"/>
          <w:szCs w:val="24"/>
          <w:lang w:val="en-GB"/>
        </w:rPr>
      </w:pPr>
      <w:r w:rsidRPr="31BA2C24">
        <w:rPr>
          <w:rFonts w:ascii="Times New Roman" w:hAnsi="Times New Roman" w:cs="Times New Roman"/>
          <w:sz w:val="24"/>
          <w:szCs w:val="24"/>
          <w:lang w:val="en-GB"/>
        </w:rPr>
        <w:t xml:space="preserve"> at least 1 psychologist (working at least 0.5 full-time) must be employed or </w:t>
      </w:r>
      <w:r w:rsidR="00FF5ADC" w:rsidRPr="31BA2C24">
        <w:rPr>
          <w:rFonts w:ascii="Times New Roman" w:hAnsi="Times New Roman" w:cs="Times New Roman"/>
          <w:sz w:val="24"/>
          <w:szCs w:val="24"/>
          <w:lang w:val="en-GB"/>
        </w:rPr>
        <w:t xml:space="preserve">a </w:t>
      </w:r>
      <w:r w:rsidRPr="31BA2C24">
        <w:rPr>
          <w:rFonts w:ascii="Times New Roman" w:hAnsi="Times New Roman" w:cs="Times New Roman"/>
          <w:sz w:val="24"/>
          <w:szCs w:val="24"/>
          <w:lang w:val="en-GB"/>
        </w:rPr>
        <w:t xml:space="preserve">contract for provision of psychological services for youth must be signed at the YFHCSs Coordination Centre; </w:t>
      </w:r>
    </w:p>
    <w:p w14:paraId="2CD5264D" w14:textId="77777777" w:rsidR="00F441FB" w:rsidRPr="00C540E2" w:rsidRDefault="00F441FB" w:rsidP="00C540E2">
      <w:pPr>
        <w:pStyle w:val="ListParagraph"/>
        <w:numPr>
          <w:ilvl w:val="1"/>
          <w:numId w:val="3"/>
        </w:numPr>
        <w:tabs>
          <w:tab w:val="left" w:pos="851"/>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 the YFHCSs Coordination Centre shall be established/developed or the coordination and case management functions of YFHCSs shall be introduced/developed; </w:t>
      </w:r>
    </w:p>
    <w:p w14:paraId="082B1CB0" w14:textId="77777777" w:rsidR="00F441FB" w:rsidRPr="00C540E2" w:rsidRDefault="00F441FB" w:rsidP="00C540E2">
      <w:pPr>
        <w:pStyle w:val="ListParagraph"/>
        <w:numPr>
          <w:ilvl w:val="1"/>
          <w:numId w:val="3"/>
        </w:numPr>
        <w:tabs>
          <w:tab w:val="left" w:pos="851"/>
          <w:tab w:val="left" w:pos="993"/>
          <w:tab w:val="left" w:pos="1134"/>
        </w:tabs>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 Youth Health Online Portal of the municipal level shall be administered during the Project (preparation, publication, updating, adaptation of information, etc.). </w:t>
      </w:r>
    </w:p>
    <w:p w14:paraId="02431306" w14:textId="67D80F2E" w:rsidR="004127E9" w:rsidRPr="00C540E2" w:rsidRDefault="002F136E"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In the implementation of the project t</w:t>
      </w:r>
      <w:r w:rsidR="00387CBB" w:rsidRPr="00C540E2">
        <w:rPr>
          <w:rFonts w:ascii="Times New Roman" w:hAnsi="Times New Roman" w:cs="Times New Roman"/>
          <w:sz w:val="24"/>
          <w:szCs w:val="24"/>
          <w:lang w:val="en-GB"/>
        </w:rPr>
        <w:t xml:space="preserve">he </w:t>
      </w:r>
      <w:r w:rsidR="001A272D" w:rsidRPr="00C540E2">
        <w:rPr>
          <w:rFonts w:ascii="Times New Roman" w:hAnsi="Times New Roman" w:cs="Times New Roman"/>
          <w:sz w:val="24"/>
          <w:szCs w:val="24"/>
          <w:lang w:val="en-GB"/>
        </w:rPr>
        <w:t>A</w:t>
      </w:r>
      <w:r w:rsidR="00387CBB" w:rsidRPr="00C540E2">
        <w:rPr>
          <w:rFonts w:ascii="Times New Roman" w:hAnsi="Times New Roman" w:cs="Times New Roman"/>
          <w:sz w:val="24"/>
          <w:szCs w:val="24"/>
          <w:lang w:val="en-GB"/>
        </w:rPr>
        <w:t xml:space="preserve">pplicants shall </w:t>
      </w:r>
      <w:r w:rsidRPr="00C540E2">
        <w:rPr>
          <w:rFonts w:ascii="Times New Roman" w:hAnsi="Times New Roman" w:cs="Times New Roman"/>
          <w:sz w:val="24"/>
          <w:szCs w:val="24"/>
          <w:lang w:val="en-GB"/>
        </w:rPr>
        <w:t>contribute</w:t>
      </w:r>
      <w:r w:rsidR="003B3C5C" w:rsidRPr="00C540E2">
        <w:rPr>
          <w:rFonts w:ascii="Times New Roman" w:hAnsi="Times New Roman" w:cs="Times New Roman"/>
          <w:sz w:val="24"/>
          <w:szCs w:val="24"/>
          <w:lang w:val="en-GB"/>
        </w:rPr>
        <w:t xml:space="preserve"> (indicators are </w:t>
      </w:r>
      <w:r w:rsidR="006C5B1F" w:rsidRPr="00C540E2">
        <w:rPr>
          <w:rFonts w:ascii="Times New Roman" w:hAnsi="Times New Roman" w:cs="Times New Roman"/>
          <w:sz w:val="24"/>
          <w:szCs w:val="24"/>
          <w:lang w:val="en-GB"/>
        </w:rPr>
        <w:t>mandatory</w:t>
      </w:r>
      <w:r w:rsidR="003B3C5C"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 to</w:t>
      </w:r>
      <w:r w:rsidR="00C46760">
        <w:rPr>
          <w:rFonts w:ascii="Times New Roman" w:hAnsi="Times New Roman" w:cs="Times New Roman"/>
          <w:sz w:val="24"/>
          <w:szCs w:val="24"/>
          <w:lang w:val="en-GB"/>
        </w:rPr>
        <w:t>, and monitor for,</w:t>
      </w:r>
      <w:r w:rsidRPr="00C540E2">
        <w:rPr>
          <w:rFonts w:ascii="Times New Roman" w:hAnsi="Times New Roman" w:cs="Times New Roman"/>
          <w:sz w:val="24"/>
          <w:szCs w:val="24"/>
          <w:lang w:val="en-GB"/>
        </w:rPr>
        <w:t xml:space="preserve"> the achievement of</w:t>
      </w:r>
      <w:r w:rsidR="00151123" w:rsidRPr="00C540E2">
        <w:rPr>
          <w:rFonts w:ascii="Times New Roman" w:hAnsi="Times New Roman" w:cs="Times New Roman"/>
          <w:sz w:val="24"/>
          <w:szCs w:val="24"/>
          <w:lang w:val="en-GB"/>
        </w:rPr>
        <w:t xml:space="preserve"> </w:t>
      </w:r>
      <w:r w:rsidR="00445430">
        <w:rPr>
          <w:rFonts w:ascii="Times New Roman" w:hAnsi="Times New Roman" w:cs="Times New Roman"/>
          <w:sz w:val="24"/>
          <w:szCs w:val="24"/>
          <w:lang w:val="en-GB"/>
        </w:rPr>
        <w:t xml:space="preserve">targets defined by the </w:t>
      </w:r>
      <w:r w:rsidR="00387CBB" w:rsidRPr="00C540E2">
        <w:rPr>
          <w:rFonts w:ascii="Times New Roman" w:hAnsi="Times New Roman" w:cs="Times New Roman"/>
          <w:sz w:val="24"/>
          <w:szCs w:val="24"/>
          <w:lang w:val="en-GB"/>
        </w:rPr>
        <w:t xml:space="preserve">following </w:t>
      </w:r>
      <w:r w:rsidR="003B3C5C" w:rsidRPr="00C540E2">
        <w:rPr>
          <w:rFonts w:ascii="Times New Roman" w:hAnsi="Times New Roman" w:cs="Times New Roman"/>
          <w:sz w:val="24"/>
          <w:szCs w:val="24"/>
          <w:lang w:val="en-GB"/>
        </w:rPr>
        <w:t xml:space="preserve">Programme </w:t>
      </w:r>
      <w:r w:rsidR="00387CBB" w:rsidRPr="00C540E2">
        <w:rPr>
          <w:rFonts w:ascii="Times New Roman" w:hAnsi="Times New Roman" w:cs="Times New Roman"/>
          <w:sz w:val="24"/>
          <w:szCs w:val="24"/>
          <w:lang w:val="en-GB"/>
        </w:rPr>
        <w:t>indicators</w:t>
      </w:r>
      <w:r w:rsidR="004127E9" w:rsidRPr="00C540E2">
        <w:rPr>
          <w:rFonts w:ascii="Times New Roman" w:hAnsi="Times New Roman" w:cs="Times New Roman"/>
          <w:sz w:val="24"/>
          <w:szCs w:val="24"/>
          <w:lang w:val="en-GB"/>
        </w:rPr>
        <w:t>:</w:t>
      </w:r>
    </w:p>
    <w:tbl>
      <w:tblPr>
        <w:tblStyle w:val="TableGrid"/>
        <w:tblW w:w="0" w:type="auto"/>
        <w:tblInd w:w="360" w:type="dxa"/>
        <w:tblLook w:val="04A0" w:firstRow="1" w:lastRow="0" w:firstColumn="1" w:lastColumn="0" w:noHBand="0" w:noVBand="1"/>
      </w:tblPr>
      <w:tblGrid>
        <w:gridCol w:w="9558"/>
      </w:tblGrid>
      <w:tr w:rsidR="00B55687" w:rsidRPr="00C540E2" w14:paraId="70D60BCA" w14:textId="77777777" w:rsidTr="00EF0113">
        <w:tc>
          <w:tcPr>
            <w:tcW w:w="9558" w:type="dxa"/>
          </w:tcPr>
          <w:p w14:paraId="5BBDB2E8" w14:textId="72865C0D" w:rsidR="00B55687" w:rsidRPr="00C540E2" w:rsidRDefault="002F136E" w:rsidP="00C540E2">
            <w:pPr>
              <w:spacing w:after="120"/>
              <w:jc w:val="both"/>
              <w:rPr>
                <w:rFonts w:ascii="Times New Roman" w:hAnsi="Times New Roman" w:cs="Times New Roman"/>
                <w:b/>
                <w:sz w:val="24"/>
                <w:szCs w:val="24"/>
                <w:lang w:val="en-GB"/>
              </w:rPr>
            </w:pPr>
            <w:r w:rsidRPr="00C540E2">
              <w:rPr>
                <w:rFonts w:ascii="Times New Roman" w:hAnsi="Times New Roman" w:cs="Times New Roman"/>
                <w:b/>
                <w:sz w:val="24"/>
                <w:szCs w:val="24"/>
                <w:lang w:val="en-GB"/>
              </w:rPr>
              <w:t xml:space="preserve">Outcome </w:t>
            </w:r>
            <w:r w:rsidR="00B55687" w:rsidRPr="00C540E2">
              <w:rPr>
                <w:rFonts w:ascii="Times New Roman" w:hAnsi="Times New Roman" w:cs="Times New Roman"/>
                <w:b/>
                <w:sz w:val="24"/>
                <w:szCs w:val="24"/>
                <w:lang w:val="en-GB"/>
              </w:rPr>
              <w:t>Indicator</w:t>
            </w:r>
            <w:r w:rsidR="00445430">
              <w:rPr>
                <w:rFonts w:ascii="Times New Roman" w:hAnsi="Times New Roman" w:cs="Times New Roman"/>
                <w:b/>
                <w:sz w:val="24"/>
                <w:szCs w:val="24"/>
                <w:lang w:val="en-GB"/>
              </w:rPr>
              <w:t>s</w:t>
            </w:r>
          </w:p>
        </w:tc>
      </w:tr>
      <w:tr w:rsidR="00B55687" w:rsidRPr="00C540E2" w14:paraId="44880B7D" w14:textId="77777777" w:rsidTr="00EF0113">
        <w:tc>
          <w:tcPr>
            <w:tcW w:w="9558" w:type="dxa"/>
          </w:tcPr>
          <w:p w14:paraId="5E8F4808" w14:textId="327EFDB5" w:rsidR="00B55687" w:rsidRPr="00C540E2" w:rsidRDefault="00EE0AC3" w:rsidP="00C540E2">
            <w:pPr>
              <w:pStyle w:val="ListParagraph"/>
              <w:numPr>
                <w:ilvl w:val="1"/>
                <w:numId w:val="3"/>
              </w:numPr>
              <w:tabs>
                <w:tab w:val="left" w:pos="949"/>
              </w:tabs>
              <w:spacing w:after="120"/>
              <w:ind w:left="513" w:hanging="513"/>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Number of beneficiaries of services provided</w:t>
            </w:r>
          </w:p>
        </w:tc>
      </w:tr>
      <w:tr w:rsidR="00B55687" w:rsidRPr="00C540E2" w14:paraId="2A45A7EF" w14:textId="77777777" w:rsidTr="00EF0113">
        <w:tc>
          <w:tcPr>
            <w:tcW w:w="9558" w:type="dxa"/>
          </w:tcPr>
          <w:p w14:paraId="4EED3099" w14:textId="11331CB5" w:rsidR="00B55687" w:rsidRPr="00C540E2" w:rsidRDefault="00EE0AC3" w:rsidP="00C540E2">
            <w:pPr>
              <w:pStyle w:val="ListParagraph"/>
              <w:numPr>
                <w:ilvl w:val="1"/>
                <w:numId w:val="3"/>
              </w:numPr>
              <w:tabs>
                <w:tab w:val="left" w:pos="949"/>
              </w:tabs>
              <w:spacing w:after="120"/>
              <w:ind w:left="517" w:hanging="51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Level of satisfaction of services provided</w:t>
            </w:r>
          </w:p>
        </w:tc>
      </w:tr>
      <w:tr w:rsidR="00151123" w:rsidRPr="00C540E2" w14:paraId="1DBDE943" w14:textId="77777777" w:rsidTr="00EF0113">
        <w:tc>
          <w:tcPr>
            <w:tcW w:w="9558" w:type="dxa"/>
          </w:tcPr>
          <w:p w14:paraId="76044AFE" w14:textId="278651F7" w:rsidR="00151123" w:rsidRPr="00C540E2" w:rsidRDefault="00151123" w:rsidP="00C540E2">
            <w:pPr>
              <w:tabs>
                <w:tab w:val="left" w:pos="949"/>
              </w:tabs>
              <w:spacing w:after="120"/>
              <w:ind w:left="513" w:hanging="513"/>
              <w:jc w:val="both"/>
              <w:rPr>
                <w:rFonts w:ascii="Times New Roman" w:hAnsi="Times New Roman" w:cs="Times New Roman"/>
                <w:b/>
                <w:sz w:val="24"/>
                <w:szCs w:val="24"/>
                <w:lang w:val="en-GB"/>
              </w:rPr>
            </w:pPr>
            <w:r w:rsidRPr="00C540E2">
              <w:rPr>
                <w:rFonts w:ascii="Times New Roman" w:hAnsi="Times New Roman" w:cs="Times New Roman"/>
                <w:b/>
                <w:sz w:val="24"/>
                <w:szCs w:val="24"/>
                <w:lang w:val="en-GB"/>
              </w:rPr>
              <w:t>Output Indicator</w:t>
            </w:r>
            <w:r w:rsidR="00445430">
              <w:rPr>
                <w:rFonts w:ascii="Times New Roman" w:hAnsi="Times New Roman" w:cs="Times New Roman"/>
                <w:b/>
                <w:sz w:val="24"/>
                <w:szCs w:val="24"/>
                <w:lang w:val="en-GB"/>
              </w:rPr>
              <w:t>s</w:t>
            </w:r>
          </w:p>
        </w:tc>
      </w:tr>
      <w:tr w:rsidR="00151123" w:rsidRPr="00C540E2" w14:paraId="75E00961" w14:textId="77777777" w:rsidTr="00EF0113">
        <w:tc>
          <w:tcPr>
            <w:tcW w:w="9558" w:type="dxa"/>
          </w:tcPr>
          <w:p w14:paraId="06C605FA" w14:textId="5892C31B" w:rsidR="00151123" w:rsidRPr="00C540E2" w:rsidRDefault="00EE0AC3" w:rsidP="00C540E2">
            <w:pPr>
              <w:pStyle w:val="ListParagraph"/>
              <w:numPr>
                <w:ilvl w:val="1"/>
                <w:numId w:val="3"/>
              </w:numPr>
              <w:tabs>
                <w:tab w:val="left" w:pos="949"/>
              </w:tabs>
              <w:spacing w:after="120"/>
              <w:ind w:left="513" w:hanging="513"/>
              <w:jc w:val="both"/>
              <w:rPr>
                <w:rFonts w:ascii="Times New Roman" w:hAnsi="Times New Roman" w:cs="Times New Roman"/>
                <w:b/>
                <w:sz w:val="24"/>
                <w:szCs w:val="24"/>
                <w:lang w:val="en-GB"/>
              </w:rPr>
            </w:pPr>
            <w:r w:rsidRPr="00C540E2">
              <w:rPr>
                <w:rFonts w:ascii="Times New Roman" w:eastAsia="Times New Roman" w:hAnsi="Times New Roman" w:cs="Times New Roman"/>
                <w:color w:val="000000"/>
                <w:sz w:val="24"/>
                <w:szCs w:val="24"/>
                <w:lang w:eastAsia="en-GB"/>
              </w:rPr>
              <w:t>Number of YFHCS coordinators trained in case management</w:t>
            </w:r>
          </w:p>
        </w:tc>
      </w:tr>
      <w:tr w:rsidR="00151123" w:rsidRPr="00C540E2" w14:paraId="22516CD1" w14:textId="77777777" w:rsidTr="00EF0113">
        <w:tc>
          <w:tcPr>
            <w:tcW w:w="9558" w:type="dxa"/>
          </w:tcPr>
          <w:p w14:paraId="5694B786" w14:textId="3738E16C" w:rsidR="00151123" w:rsidRPr="00C540E2" w:rsidRDefault="00EE0AC3" w:rsidP="00C540E2">
            <w:pPr>
              <w:pStyle w:val="ListParagraph"/>
              <w:numPr>
                <w:ilvl w:val="1"/>
                <w:numId w:val="3"/>
              </w:numPr>
              <w:tabs>
                <w:tab w:val="left" w:pos="949"/>
              </w:tabs>
              <w:spacing w:after="120"/>
              <w:ind w:left="513" w:hanging="513"/>
              <w:jc w:val="both"/>
              <w:rPr>
                <w:rFonts w:ascii="Times New Roman" w:hAnsi="Times New Roman" w:cs="Times New Roman"/>
                <w:b/>
                <w:sz w:val="24"/>
                <w:szCs w:val="24"/>
                <w:lang w:val="en-GB"/>
              </w:rPr>
            </w:pPr>
            <w:r w:rsidRPr="00C540E2">
              <w:rPr>
                <w:rFonts w:ascii="Times New Roman" w:eastAsia="Times New Roman" w:hAnsi="Times New Roman" w:cs="Times New Roman"/>
                <w:color w:val="000000"/>
                <w:sz w:val="24"/>
                <w:szCs w:val="24"/>
                <w:lang w:eastAsia="en-GB"/>
              </w:rPr>
              <w:t>Number of municipalities involved in the implementation of the developed model for the provision of youth-friendly health care services in the 2014–2021 period</w:t>
            </w:r>
          </w:p>
        </w:tc>
      </w:tr>
    </w:tbl>
    <w:p w14:paraId="7131608B" w14:textId="153D0D90" w:rsidR="006F22A0" w:rsidRPr="00C540E2" w:rsidRDefault="009A0266" w:rsidP="00C540E2">
      <w:pPr>
        <w:pStyle w:val="ListParagraph"/>
        <w:numPr>
          <w:ilvl w:val="0"/>
          <w:numId w:val="3"/>
        </w:numPr>
        <w:spacing w:after="120" w:line="240" w:lineRule="auto"/>
        <w:ind w:left="357" w:hanging="357"/>
        <w:contextualSpacing w:val="0"/>
        <w:jc w:val="both"/>
        <w:rPr>
          <w:rFonts w:ascii="Times New Roman" w:hAnsi="Times New Roman" w:cs="Times New Roman"/>
          <w:sz w:val="24"/>
          <w:szCs w:val="24"/>
          <w:lang w:val="en-GB"/>
        </w:rPr>
      </w:pPr>
      <w:r w:rsidRPr="009A0266">
        <w:rPr>
          <w:rFonts w:ascii="Times New Roman" w:hAnsi="Times New Roman" w:cs="Times New Roman"/>
          <w:sz w:val="24"/>
          <w:szCs w:val="24"/>
          <w:lang w:val="en-GB"/>
        </w:rPr>
        <w:t>If the project involves a bilateral component (i.e. a partnership with a Donor State organisation), the Applicants shall contribute to, and monitor for, the indicators listed below:</w:t>
      </w:r>
    </w:p>
    <w:tbl>
      <w:tblPr>
        <w:tblStyle w:val="TableGrid"/>
        <w:tblW w:w="0" w:type="auto"/>
        <w:tblInd w:w="360" w:type="dxa"/>
        <w:tblLook w:val="04A0" w:firstRow="1" w:lastRow="0" w:firstColumn="1" w:lastColumn="0" w:noHBand="0" w:noVBand="1"/>
      </w:tblPr>
      <w:tblGrid>
        <w:gridCol w:w="9602"/>
      </w:tblGrid>
      <w:tr w:rsidR="00B55687" w:rsidRPr="00C540E2" w14:paraId="41DBCCED" w14:textId="77777777" w:rsidTr="00265A96">
        <w:trPr>
          <w:trHeight w:val="285"/>
        </w:trPr>
        <w:tc>
          <w:tcPr>
            <w:tcW w:w="9602" w:type="dxa"/>
          </w:tcPr>
          <w:p w14:paraId="00B8853B" w14:textId="3464AA38" w:rsidR="00B55687" w:rsidRPr="00C540E2" w:rsidRDefault="006C5B1F" w:rsidP="00C540E2">
            <w:pPr>
              <w:spacing w:after="120"/>
              <w:jc w:val="both"/>
              <w:rPr>
                <w:rFonts w:ascii="Times New Roman" w:hAnsi="Times New Roman" w:cs="Times New Roman"/>
                <w:b/>
                <w:sz w:val="24"/>
                <w:szCs w:val="24"/>
                <w:lang w:val="en-GB"/>
              </w:rPr>
            </w:pPr>
            <w:r w:rsidRPr="00C540E2">
              <w:rPr>
                <w:rFonts w:ascii="Times New Roman" w:hAnsi="Times New Roman" w:cs="Times New Roman"/>
                <w:b/>
                <w:sz w:val="24"/>
                <w:szCs w:val="24"/>
                <w:lang w:val="en-GB"/>
              </w:rPr>
              <w:t xml:space="preserve">Outcome </w:t>
            </w:r>
            <w:r w:rsidR="00B55687" w:rsidRPr="00C540E2">
              <w:rPr>
                <w:rFonts w:ascii="Times New Roman" w:hAnsi="Times New Roman" w:cs="Times New Roman"/>
                <w:b/>
                <w:sz w:val="24"/>
                <w:szCs w:val="24"/>
                <w:lang w:val="en-GB"/>
              </w:rPr>
              <w:t>Indicator</w:t>
            </w:r>
            <w:r w:rsidR="00445430">
              <w:rPr>
                <w:rFonts w:ascii="Times New Roman" w:hAnsi="Times New Roman" w:cs="Times New Roman"/>
                <w:b/>
                <w:sz w:val="24"/>
                <w:szCs w:val="24"/>
                <w:lang w:val="en-GB"/>
              </w:rPr>
              <w:t>s</w:t>
            </w:r>
            <w:r w:rsidR="00445430">
              <w:rPr>
                <w:rStyle w:val="FootnoteReference"/>
                <w:rFonts w:ascii="Times New Roman" w:hAnsi="Times New Roman" w:cs="Times New Roman"/>
                <w:b/>
                <w:sz w:val="24"/>
                <w:szCs w:val="24"/>
                <w:lang w:val="en-GB"/>
              </w:rPr>
              <w:footnoteReference w:id="2"/>
            </w:r>
          </w:p>
        </w:tc>
      </w:tr>
      <w:tr w:rsidR="006C5B1F" w:rsidRPr="00C540E2" w14:paraId="6FAF27CB" w14:textId="77777777" w:rsidTr="00936041">
        <w:tc>
          <w:tcPr>
            <w:tcW w:w="9602" w:type="dxa"/>
            <w:shd w:val="clear" w:color="auto" w:fill="auto"/>
            <w:vAlign w:val="center"/>
          </w:tcPr>
          <w:p w14:paraId="48473AFF" w14:textId="01FA531E" w:rsidR="006C5B1F" w:rsidRPr="00C540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C540E2">
              <w:rPr>
                <w:rFonts w:ascii="Times New Roman" w:eastAsia="Times New Roman" w:hAnsi="Times New Roman" w:cs="Times New Roman"/>
                <w:color w:val="000000"/>
                <w:sz w:val="24"/>
                <w:szCs w:val="24"/>
                <w:lang w:eastAsia="en-GB"/>
              </w:rPr>
              <w:t xml:space="preserve">Level of trust between cooperating entities in Beneficiary States and Donor States </w:t>
            </w:r>
          </w:p>
        </w:tc>
      </w:tr>
      <w:tr w:rsidR="006C5B1F" w:rsidRPr="00C540E2" w14:paraId="71B5AD4F" w14:textId="77777777" w:rsidTr="00936041">
        <w:tc>
          <w:tcPr>
            <w:tcW w:w="9602" w:type="dxa"/>
            <w:shd w:val="clear" w:color="auto" w:fill="auto"/>
            <w:vAlign w:val="center"/>
          </w:tcPr>
          <w:p w14:paraId="1DB63255" w14:textId="2D704E3A" w:rsidR="006C5B1F" w:rsidRPr="00C540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C540E2">
              <w:rPr>
                <w:rFonts w:ascii="Times New Roman" w:eastAsia="Times New Roman" w:hAnsi="Times New Roman" w:cs="Times New Roman"/>
                <w:color w:val="000000"/>
                <w:sz w:val="24"/>
                <w:szCs w:val="24"/>
                <w:lang w:eastAsia="en-GB"/>
              </w:rPr>
              <w:t xml:space="preserve">Level of satisfaction with the partnership </w:t>
            </w:r>
          </w:p>
        </w:tc>
      </w:tr>
      <w:tr w:rsidR="006C5B1F" w:rsidRPr="00C540E2" w14:paraId="0DFC5203" w14:textId="77777777" w:rsidTr="00936041">
        <w:tc>
          <w:tcPr>
            <w:tcW w:w="9602" w:type="dxa"/>
            <w:shd w:val="clear" w:color="auto" w:fill="auto"/>
            <w:vAlign w:val="center"/>
          </w:tcPr>
          <w:p w14:paraId="49B3B38F" w14:textId="3F98D33E" w:rsidR="006C5B1F" w:rsidRPr="00C540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C540E2">
              <w:rPr>
                <w:rFonts w:ascii="Times New Roman" w:eastAsia="Times New Roman" w:hAnsi="Times New Roman" w:cs="Times New Roman"/>
                <w:color w:val="000000"/>
                <w:sz w:val="24"/>
                <w:szCs w:val="24"/>
                <w:lang w:eastAsia="en-GB"/>
              </w:rPr>
              <w:t xml:space="preserve">Share of cooperating organisations that apply the knowledge acquired from bilateral partnership </w:t>
            </w:r>
          </w:p>
        </w:tc>
      </w:tr>
      <w:tr w:rsidR="006C5B1F" w:rsidRPr="00C540E2" w14:paraId="053DB47F" w14:textId="77777777" w:rsidTr="00936041">
        <w:tc>
          <w:tcPr>
            <w:tcW w:w="9602" w:type="dxa"/>
            <w:shd w:val="clear" w:color="auto" w:fill="auto"/>
            <w:vAlign w:val="center"/>
          </w:tcPr>
          <w:p w14:paraId="15875E6A" w14:textId="0EEBBA1B" w:rsidR="006C5B1F" w:rsidRPr="00C540E2" w:rsidRDefault="006C5B1F" w:rsidP="00C540E2">
            <w:pPr>
              <w:tabs>
                <w:tab w:val="left" w:pos="949"/>
              </w:tabs>
              <w:spacing w:after="120"/>
              <w:rPr>
                <w:rFonts w:ascii="Times New Roman" w:eastAsia="Times New Roman" w:hAnsi="Times New Roman" w:cs="Times New Roman"/>
                <w:b/>
                <w:color w:val="000000"/>
                <w:sz w:val="24"/>
                <w:szCs w:val="24"/>
                <w:lang w:eastAsia="en-GB"/>
              </w:rPr>
            </w:pPr>
            <w:r w:rsidRPr="00C540E2">
              <w:rPr>
                <w:rFonts w:ascii="Times New Roman" w:eastAsia="Times New Roman" w:hAnsi="Times New Roman" w:cs="Times New Roman"/>
                <w:b/>
                <w:color w:val="000000"/>
                <w:sz w:val="24"/>
                <w:szCs w:val="24"/>
                <w:lang w:eastAsia="en-GB"/>
              </w:rPr>
              <w:t>Output indicator</w:t>
            </w:r>
            <w:r w:rsidR="00445430">
              <w:rPr>
                <w:rFonts w:ascii="Times New Roman" w:eastAsia="Times New Roman" w:hAnsi="Times New Roman" w:cs="Times New Roman"/>
                <w:b/>
                <w:color w:val="000000"/>
                <w:sz w:val="24"/>
                <w:szCs w:val="24"/>
                <w:lang w:eastAsia="en-GB"/>
              </w:rPr>
              <w:t>s</w:t>
            </w:r>
          </w:p>
        </w:tc>
      </w:tr>
      <w:tr w:rsidR="006C5B1F" w:rsidRPr="00C540E2" w14:paraId="080131BA" w14:textId="77777777" w:rsidTr="00936041">
        <w:tc>
          <w:tcPr>
            <w:tcW w:w="9602" w:type="dxa"/>
            <w:shd w:val="clear" w:color="auto" w:fill="auto"/>
            <w:vAlign w:val="center"/>
          </w:tcPr>
          <w:p w14:paraId="62057FB5" w14:textId="6C028C1D" w:rsidR="006C5B1F" w:rsidRPr="00C540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eastAsia="en-GB"/>
              </w:rPr>
            </w:pPr>
            <w:r w:rsidRPr="00C540E2">
              <w:rPr>
                <w:rFonts w:ascii="Times New Roman" w:eastAsia="Times New Roman" w:hAnsi="Times New Roman" w:cs="Times New Roman"/>
                <w:color w:val="000000"/>
                <w:sz w:val="24"/>
                <w:szCs w:val="24"/>
                <w:lang w:eastAsia="en-GB"/>
              </w:rPr>
              <w:t xml:space="preserve">Number of participants from Beneficiary States in exchanges </w:t>
            </w:r>
          </w:p>
        </w:tc>
      </w:tr>
      <w:tr w:rsidR="006C5B1F" w:rsidRPr="00C540E2" w14:paraId="4940F028" w14:textId="77777777" w:rsidTr="00936041">
        <w:tc>
          <w:tcPr>
            <w:tcW w:w="9602" w:type="dxa"/>
            <w:shd w:val="clear" w:color="auto" w:fill="auto"/>
            <w:vAlign w:val="center"/>
          </w:tcPr>
          <w:p w14:paraId="731A0BBB" w14:textId="27B52B00" w:rsidR="006C5B1F" w:rsidRPr="00C540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eastAsia="en-GB"/>
              </w:rPr>
            </w:pPr>
            <w:r w:rsidRPr="00C540E2">
              <w:rPr>
                <w:rFonts w:ascii="Times New Roman" w:eastAsia="Times New Roman" w:hAnsi="Times New Roman" w:cs="Times New Roman"/>
                <w:color w:val="000000"/>
                <w:sz w:val="24"/>
                <w:szCs w:val="24"/>
                <w:lang w:eastAsia="en-GB"/>
              </w:rPr>
              <w:t xml:space="preserve">Number of participants from Donor States in exchanges </w:t>
            </w:r>
          </w:p>
        </w:tc>
      </w:tr>
      <w:tr w:rsidR="006C5B1F" w:rsidRPr="00C540E2" w14:paraId="26F4DC19" w14:textId="77777777" w:rsidTr="00936041">
        <w:tc>
          <w:tcPr>
            <w:tcW w:w="9602" w:type="dxa"/>
            <w:shd w:val="clear" w:color="auto" w:fill="auto"/>
            <w:vAlign w:val="center"/>
          </w:tcPr>
          <w:p w14:paraId="13B52263" w14:textId="67D6C674" w:rsidR="006C5B1F" w:rsidRPr="00C540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eastAsia="en-GB"/>
              </w:rPr>
            </w:pPr>
            <w:r w:rsidRPr="00C540E2">
              <w:rPr>
                <w:rFonts w:ascii="Times New Roman" w:eastAsia="Times New Roman" w:hAnsi="Times New Roman" w:cs="Times New Roman"/>
                <w:color w:val="000000"/>
                <w:sz w:val="24"/>
                <w:szCs w:val="24"/>
                <w:lang w:eastAsia="en-GB"/>
              </w:rPr>
              <w:t xml:space="preserve">Number of projects involving cooperation with a Donor Project Partner </w:t>
            </w:r>
          </w:p>
        </w:tc>
      </w:tr>
    </w:tbl>
    <w:p w14:paraId="7F5F2E01" w14:textId="3DE3557B" w:rsidR="000E177A" w:rsidRPr="00C540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 methodology for calculating monitoring indicators is provided in Annex </w:t>
      </w:r>
      <w:r w:rsidR="006C5B1F" w:rsidRPr="00C540E2">
        <w:rPr>
          <w:rFonts w:ascii="Times New Roman" w:hAnsi="Times New Roman" w:cs="Times New Roman"/>
          <w:sz w:val="24"/>
          <w:szCs w:val="24"/>
          <w:lang w:val="en-GB"/>
        </w:rPr>
        <w:t>6</w:t>
      </w:r>
      <w:r w:rsidRPr="00C540E2">
        <w:rPr>
          <w:rFonts w:ascii="Times New Roman" w:hAnsi="Times New Roman" w:cs="Times New Roman"/>
          <w:sz w:val="24"/>
          <w:szCs w:val="24"/>
          <w:lang w:val="en-GB"/>
        </w:rPr>
        <w:t xml:space="preserve"> to the Guidelines.</w:t>
      </w:r>
    </w:p>
    <w:p w14:paraId="0174D00F" w14:textId="567EA7A0" w:rsidR="000E177A" w:rsidRPr="00C540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 maximum of 24 months shall be planned for the implementation of project activities. During the implementation of the project, the project activities may be extended in presence of duly justified reasons, but not longer than till 30 April 2024.</w:t>
      </w:r>
    </w:p>
    <w:p w14:paraId="795E6DF1" w14:textId="01CC61B1" w:rsidR="000E177A" w:rsidRPr="00C540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project shall be prepared in observance of the principles of </w:t>
      </w:r>
      <w:r w:rsidRPr="00C540E2">
        <w:rPr>
          <w:rFonts w:ascii="Times New Roman" w:hAnsi="Times New Roman" w:cs="Times New Roman"/>
          <w:b/>
          <w:bCs/>
          <w:sz w:val="24"/>
          <w:szCs w:val="24"/>
          <w:lang w:val="en-GB"/>
        </w:rPr>
        <w:t xml:space="preserve">good </w:t>
      </w:r>
      <w:r w:rsidR="007E745F" w:rsidRPr="00C540E2">
        <w:rPr>
          <w:rFonts w:ascii="Times New Roman" w:hAnsi="Times New Roman" w:cs="Times New Roman"/>
          <w:b/>
          <w:bCs/>
          <w:sz w:val="24"/>
          <w:szCs w:val="24"/>
          <w:lang w:val="en-GB"/>
        </w:rPr>
        <w:t>governance</w:t>
      </w:r>
      <w:r w:rsidRPr="00C540E2">
        <w:rPr>
          <w:rFonts w:ascii="Times New Roman" w:hAnsi="Times New Roman" w:cs="Times New Roman"/>
          <w:sz w:val="24"/>
          <w:szCs w:val="24"/>
          <w:lang w:val="en-GB"/>
        </w:rPr>
        <w:t xml:space="preserve"> (accountability, transparency, participation, equality, rule of law, skills, competence and sensitivity to human needs shall be ensured in the implementation of the project), </w:t>
      </w:r>
      <w:r w:rsidRPr="00C540E2">
        <w:rPr>
          <w:rFonts w:ascii="Times New Roman" w:hAnsi="Times New Roman" w:cs="Times New Roman"/>
          <w:b/>
          <w:bCs/>
          <w:sz w:val="24"/>
          <w:szCs w:val="24"/>
          <w:lang w:val="en-GB"/>
        </w:rPr>
        <w:t>sustainable development</w:t>
      </w:r>
      <w:r w:rsidRPr="00C540E2">
        <w:rPr>
          <w:rFonts w:ascii="Times New Roman" w:hAnsi="Times New Roman" w:cs="Times New Roman"/>
          <w:sz w:val="24"/>
          <w:szCs w:val="24"/>
          <w:lang w:val="en-GB"/>
        </w:rPr>
        <w:t xml:space="preserve"> (alignment of economic, social development and environmental protection objectives, taking into account their </w:t>
      </w:r>
      <w:r w:rsidRPr="00C540E2">
        <w:rPr>
          <w:rFonts w:ascii="Times New Roman" w:hAnsi="Times New Roman" w:cs="Times New Roman"/>
          <w:sz w:val="24"/>
          <w:szCs w:val="24"/>
          <w:lang w:val="en-GB"/>
        </w:rPr>
        <w:lastRenderedPageBreak/>
        <w:t xml:space="preserve">complex interdependence and the expected effects of their implementation) and </w:t>
      </w:r>
      <w:r w:rsidRPr="00C540E2">
        <w:rPr>
          <w:rFonts w:ascii="Times New Roman" w:hAnsi="Times New Roman" w:cs="Times New Roman"/>
          <w:b/>
          <w:bCs/>
          <w:sz w:val="24"/>
          <w:szCs w:val="24"/>
          <w:lang w:val="en-GB"/>
        </w:rPr>
        <w:t>gender equality and equal opportunities</w:t>
      </w:r>
      <w:r w:rsidRPr="00C540E2">
        <w:rPr>
          <w:rFonts w:ascii="Times New Roman" w:hAnsi="Times New Roman" w:cs="Times New Roman"/>
          <w:sz w:val="24"/>
          <w:szCs w:val="24"/>
          <w:lang w:val="en-GB"/>
        </w:rPr>
        <w:t xml:space="preserve"> (ensuring equal opportunities for women and men and the elimination of any discrimination based on ethnic or racial origin, age, disability, sexual orientation, religion or </w:t>
      </w:r>
      <w:r w:rsidR="007E745F" w:rsidRPr="00C540E2">
        <w:rPr>
          <w:rFonts w:ascii="Times New Roman" w:hAnsi="Times New Roman" w:cs="Times New Roman"/>
          <w:sz w:val="24"/>
          <w:szCs w:val="24"/>
          <w:lang w:val="en-GB"/>
        </w:rPr>
        <w:t>views</w:t>
      </w:r>
      <w:r w:rsidRPr="00C540E2">
        <w:rPr>
          <w:rFonts w:ascii="Times New Roman" w:hAnsi="Times New Roman" w:cs="Times New Roman"/>
          <w:sz w:val="24"/>
          <w:szCs w:val="24"/>
          <w:lang w:val="en-GB"/>
        </w:rPr>
        <w:t>). The</w:t>
      </w:r>
      <w:r w:rsidR="00F0464B" w:rsidRPr="00C540E2">
        <w:rPr>
          <w:rFonts w:ascii="Times New Roman" w:hAnsi="Times New Roman" w:cs="Times New Roman"/>
          <w:sz w:val="24"/>
          <w:szCs w:val="24"/>
          <w:lang w:val="en-GB"/>
        </w:rPr>
        <w:t xml:space="preserve"> project cannot have an adverse</w:t>
      </w:r>
      <w:r w:rsidRPr="00C540E2">
        <w:rPr>
          <w:rFonts w:ascii="Times New Roman" w:hAnsi="Times New Roman" w:cs="Times New Roman"/>
          <w:sz w:val="24"/>
          <w:szCs w:val="24"/>
          <w:lang w:val="en-GB"/>
        </w:rPr>
        <w:t xml:space="preserve"> impact on these principles.</w:t>
      </w:r>
    </w:p>
    <w:p w14:paraId="36ACB3FC" w14:textId="2DC55C20" w:rsidR="000E177A" w:rsidRPr="00C540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project </w:t>
      </w:r>
      <w:r w:rsidR="00F0464B" w:rsidRPr="00C540E2">
        <w:rPr>
          <w:rFonts w:ascii="Times New Roman" w:hAnsi="Times New Roman" w:cs="Times New Roman"/>
          <w:sz w:val="24"/>
          <w:szCs w:val="24"/>
          <w:lang w:val="en-GB"/>
        </w:rPr>
        <w:t>shall</w:t>
      </w:r>
      <w:r w:rsidRPr="00C540E2">
        <w:rPr>
          <w:rFonts w:ascii="Times New Roman" w:hAnsi="Times New Roman" w:cs="Times New Roman"/>
          <w:sz w:val="24"/>
          <w:szCs w:val="24"/>
          <w:lang w:val="en-GB"/>
        </w:rPr>
        <w:t xml:space="preserve"> meet the </w:t>
      </w:r>
      <w:r w:rsidR="00F0464B" w:rsidRPr="00C540E2">
        <w:rPr>
          <w:rFonts w:ascii="Times New Roman" w:hAnsi="Times New Roman" w:cs="Times New Roman"/>
          <w:sz w:val="24"/>
          <w:szCs w:val="24"/>
          <w:lang w:val="en-GB"/>
        </w:rPr>
        <w:t xml:space="preserve">set </w:t>
      </w:r>
      <w:r w:rsidR="00B55687" w:rsidRPr="00C540E2">
        <w:rPr>
          <w:rFonts w:ascii="Times New Roman" w:hAnsi="Times New Roman" w:cs="Times New Roman"/>
          <w:sz w:val="24"/>
          <w:szCs w:val="24"/>
          <w:lang w:val="en-GB"/>
        </w:rPr>
        <w:t xml:space="preserve">project </w:t>
      </w:r>
      <w:r w:rsidR="008D2C56" w:rsidRPr="00C540E2">
        <w:rPr>
          <w:rFonts w:ascii="Times New Roman" w:hAnsi="Times New Roman" w:cs="Times New Roman"/>
          <w:sz w:val="24"/>
          <w:szCs w:val="24"/>
          <w:lang w:val="en-GB"/>
        </w:rPr>
        <w:t xml:space="preserve">administrative criteria, </w:t>
      </w:r>
      <w:r w:rsidRPr="00C540E2">
        <w:rPr>
          <w:rFonts w:ascii="Times New Roman" w:hAnsi="Times New Roman" w:cs="Times New Roman"/>
          <w:sz w:val="24"/>
          <w:szCs w:val="24"/>
          <w:lang w:val="en-GB"/>
        </w:rPr>
        <w:t xml:space="preserve">general </w:t>
      </w:r>
      <w:r w:rsidR="00B55687" w:rsidRPr="00C540E2">
        <w:rPr>
          <w:rFonts w:ascii="Times New Roman" w:hAnsi="Times New Roman" w:cs="Times New Roman"/>
          <w:sz w:val="24"/>
          <w:szCs w:val="24"/>
          <w:lang w:val="en-GB"/>
        </w:rPr>
        <w:t xml:space="preserve">project selection </w:t>
      </w:r>
      <w:r w:rsidR="00924EF9" w:rsidRPr="00C540E2">
        <w:rPr>
          <w:rFonts w:ascii="Times New Roman" w:hAnsi="Times New Roman" w:cs="Times New Roman"/>
          <w:sz w:val="24"/>
          <w:szCs w:val="24"/>
          <w:lang w:val="en-GB"/>
        </w:rPr>
        <w:t xml:space="preserve">criteria </w:t>
      </w:r>
      <w:r w:rsidRPr="00C540E2">
        <w:rPr>
          <w:rFonts w:ascii="Times New Roman" w:hAnsi="Times New Roman" w:cs="Times New Roman"/>
          <w:sz w:val="24"/>
          <w:szCs w:val="24"/>
          <w:lang w:val="en-GB"/>
        </w:rPr>
        <w:t xml:space="preserve">and specific project </w:t>
      </w:r>
      <w:r w:rsidR="00924EF9" w:rsidRPr="00C540E2">
        <w:rPr>
          <w:rFonts w:ascii="Times New Roman" w:hAnsi="Times New Roman" w:cs="Times New Roman"/>
          <w:sz w:val="24"/>
          <w:szCs w:val="24"/>
          <w:lang w:val="en-GB"/>
        </w:rPr>
        <w:t xml:space="preserve">compliance </w:t>
      </w:r>
      <w:r w:rsidR="00F0464B" w:rsidRPr="00C540E2">
        <w:rPr>
          <w:rFonts w:ascii="Times New Roman" w:hAnsi="Times New Roman" w:cs="Times New Roman"/>
          <w:sz w:val="24"/>
          <w:szCs w:val="24"/>
          <w:lang w:val="en-GB"/>
        </w:rPr>
        <w:t>criteria</w:t>
      </w:r>
      <w:r w:rsidR="00924EF9" w:rsidRPr="00C540E2">
        <w:rPr>
          <w:rFonts w:ascii="Times New Roman" w:hAnsi="Times New Roman" w:cs="Times New Roman"/>
          <w:sz w:val="24"/>
          <w:szCs w:val="24"/>
          <w:lang w:val="en-GB"/>
        </w:rPr>
        <w:t xml:space="preserve"> (project eligibility criteria) </w:t>
      </w:r>
      <w:r w:rsidRPr="00C540E2">
        <w:rPr>
          <w:rFonts w:ascii="Times New Roman" w:hAnsi="Times New Roman" w:cs="Times New Roman"/>
          <w:sz w:val="24"/>
          <w:szCs w:val="24"/>
          <w:lang w:val="en-GB"/>
        </w:rPr>
        <w:t xml:space="preserve">and </w:t>
      </w:r>
      <w:r w:rsidR="00924EF9" w:rsidRPr="00C540E2">
        <w:rPr>
          <w:rFonts w:ascii="Times New Roman" w:hAnsi="Times New Roman" w:cs="Times New Roman"/>
          <w:sz w:val="24"/>
          <w:szCs w:val="24"/>
          <w:lang w:val="en-GB"/>
        </w:rPr>
        <w:t xml:space="preserve">shall </w:t>
      </w:r>
      <w:r w:rsidRPr="00C540E2">
        <w:rPr>
          <w:rFonts w:ascii="Times New Roman" w:hAnsi="Times New Roman" w:cs="Times New Roman"/>
          <w:sz w:val="24"/>
          <w:szCs w:val="24"/>
          <w:lang w:val="en-GB"/>
        </w:rPr>
        <w:t xml:space="preserve">aim to meet the specific priority project selection criteria (benefit and quality) </w:t>
      </w:r>
      <w:r w:rsidR="00F0464B" w:rsidRPr="00C540E2">
        <w:rPr>
          <w:rFonts w:ascii="Times New Roman" w:hAnsi="Times New Roman" w:cs="Times New Roman"/>
          <w:sz w:val="24"/>
          <w:szCs w:val="24"/>
          <w:lang w:val="en-GB"/>
        </w:rPr>
        <w:t>laid down in A</w:t>
      </w:r>
      <w:r w:rsidRPr="00C540E2">
        <w:rPr>
          <w:rFonts w:ascii="Times New Roman" w:hAnsi="Times New Roman" w:cs="Times New Roman"/>
          <w:sz w:val="24"/>
          <w:szCs w:val="24"/>
          <w:lang w:val="en-GB"/>
        </w:rPr>
        <w:t xml:space="preserve">nnexes </w:t>
      </w:r>
      <w:r w:rsidR="006C5B1F" w:rsidRPr="00C540E2">
        <w:rPr>
          <w:rFonts w:ascii="Times New Roman" w:hAnsi="Times New Roman" w:cs="Times New Roman"/>
          <w:sz w:val="24"/>
          <w:szCs w:val="24"/>
          <w:lang w:val="en-GB"/>
        </w:rPr>
        <w:t>3</w:t>
      </w:r>
      <w:r w:rsidRPr="00C540E2">
        <w:rPr>
          <w:rFonts w:ascii="Times New Roman" w:hAnsi="Times New Roman" w:cs="Times New Roman"/>
          <w:sz w:val="24"/>
          <w:szCs w:val="24"/>
          <w:lang w:val="en-GB"/>
        </w:rPr>
        <w:t xml:space="preserve">, </w:t>
      </w:r>
      <w:r w:rsidR="006C5B1F" w:rsidRPr="00C540E2">
        <w:rPr>
          <w:rFonts w:ascii="Times New Roman" w:hAnsi="Times New Roman" w:cs="Times New Roman"/>
          <w:sz w:val="24"/>
          <w:szCs w:val="24"/>
          <w:lang w:val="en-GB"/>
        </w:rPr>
        <w:t>4</w:t>
      </w:r>
      <w:r w:rsidRPr="00C540E2">
        <w:rPr>
          <w:rFonts w:ascii="Times New Roman" w:hAnsi="Times New Roman" w:cs="Times New Roman"/>
          <w:sz w:val="24"/>
          <w:szCs w:val="24"/>
          <w:lang w:val="en-GB"/>
        </w:rPr>
        <w:t xml:space="preserve"> and </w:t>
      </w:r>
      <w:r w:rsidR="006C5B1F" w:rsidRPr="00C540E2">
        <w:rPr>
          <w:rFonts w:ascii="Times New Roman" w:hAnsi="Times New Roman" w:cs="Times New Roman"/>
          <w:sz w:val="24"/>
          <w:szCs w:val="24"/>
          <w:lang w:val="en-GB"/>
        </w:rPr>
        <w:t>5</w:t>
      </w:r>
      <w:r w:rsidRPr="00C540E2">
        <w:rPr>
          <w:rFonts w:ascii="Times New Roman" w:hAnsi="Times New Roman" w:cs="Times New Roman"/>
          <w:sz w:val="24"/>
          <w:szCs w:val="24"/>
          <w:lang w:val="en-GB"/>
        </w:rPr>
        <w:t xml:space="preserve"> </w:t>
      </w:r>
      <w:r w:rsidR="007E745F" w:rsidRPr="00C540E2">
        <w:rPr>
          <w:rFonts w:ascii="Times New Roman" w:hAnsi="Times New Roman" w:cs="Times New Roman"/>
          <w:sz w:val="24"/>
          <w:szCs w:val="24"/>
          <w:lang w:val="en-GB"/>
        </w:rPr>
        <w:t>to</w:t>
      </w:r>
      <w:r w:rsidRPr="00C540E2">
        <w:rPr>
          <w:rFonts w:ascii="Times New Roman" w:hAnsi="Times New Roman" w:cs="Times New Roman"/>
          <w:sz w:val="24"/>
          <w:szCs w:val="24"/>
          <w:lang w:val="en-GB"/>
        </w:rPr>
        <w:t xml:space="preserve"> the Guidelines</w:t>
      </w:r>
      <w:r w:rsidR="00924EF9" w:rsidRPr="00C540E2">
        <w:rPr>
          <w:rFonts w:ascii="Times New Roman" w:hAnsi="Times New Roman" w:cs="Times New Roman"/>
          <w:sz w:val="24"/>
          <w:szCs w:val="24"/>
          <w:lang w:val="en-GB"/>
        </w:rPr>
        <w:t>.</w:t>
      </w:r>
    </w:p>
    <w:p w14:paraId="4F9822D5" w14:textId="2E9D280A" w:rsidR="00B5045A" w:rsidRPr="00C540E2" w:rsidRDefault="00F0464B"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w:t>
      </w:r>
      <w:r w:rsidR="000E177A" w:rsidRPr="00C540E2">
        <w:rPr>
          <w:rFonts w:ascii="Times New Roman" w:hAnsi="Times New Roman" w:cs="Times New Roman"/>
          <w:sz w:val="24"/>
          <w:szCs w:val="24"/>
          <w:lang w:val="en-GB"/>
        </w:rPr>
        <w:t xml:space="preserve">he project </w:t>
      </w:r>
      <w:r w:rsidRPr="00C540E2">
        <w:rPr>
          <w:rFonts w:ascii="Times New Roman" w:hAnsi="Times New Roman" w:cs="Times New Roman"/>
          <w:sz w:val="24"/>
          <w:szCs w:val="24"/>
          <w:lang w:val="en-GB"/>
        </w:rPr>
        <w:t>shall</w:t>
      </w:r>
      <w:r w:rsidR="000E177A" w:rsidRPr="00C540E2">
        <w:rPr>
          <w:rFonts w:ascii="Times New Roman" w:hAnsi="Times New Roman" w:cs="Times New Roman"/>
          <w:sz w:val="24"/>
          <w:szCs w:val="24"/>
          <w:lang w:val="en-GB"/>
        </w:rPr>
        <w:t xml:space="preserve"> be non-profit-making</w:t>
      </w:r>
      <w:r w:rsidR="007E745F" w:rsidRPr="00C540E2">
        <w:rPr>
          <w:rFonts w:ascii="Times New Roman" w:hAnsi="Times New Roman" w:cs="Times New Roman"/>
          <w:sz w:val="24"/>
          <w:szCs w:val="24"/>
          <w:lang w:val="en-GB"/>
        </w:rPr>
        <w:t>,</w:t>
      </w:r>
      <w:r w:rsidR="000E177A"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aimed at serving</w:t>
      </w:r>
      <w:r w:rsidR="000E177A" w:rsidRPr="00C540E2">
        <w:rPr>
          <w:rFonts w:ascii="Times New Roman" w:hAnsi="Times New Roman" w:cs="Times New Roman"/>
          <w:sz w:val="24"/>
          <w:szCs w:val="24"/>
          <w:lang w:val="en-GB"/>
        </w:rPr>
        <w:t xml:space="preserve"> the public interest (pursuing </w:t>
      </w:r>
      <w:r w:rsidRPr="00C540E2">
        <w:rPr>
          <w:rFonts w:ascii="Times New Roman" w:hAnsi="Times New Roman" w:cs="Times New Roman"/>
          <w:sz w:val="24"/>
          <w:szCs w:val="24"/>
          <w:lang w:val="en-GB"/>
        </w:rPr>
        <w:t xml:space="preserve">goals important to the society rather than </w:t>
      </w:r>
      <w:r w:rsidR="000E177A" w:rsidRPr="00C540E2">
        <w:rPr>
          <w:rFonts w:ascii="Times New Roman" w:hAnsi="Times New Roman" w:cs="Times New Roman"/>
          <w:sz w:val="24"/>
          <w:szCs w:val="24"/>
          <w:lang w:val="en-GB"/>
        </w:rPr>
        <w:t xml:space="preserve">a commercial interest or satisfaction of </w:t>
      </w:r>
      <w:r w:rsidRPr="00C540E2">
        <w:rPr>
          <w:rFonts w:ascii="Times New Roman" w:hAnsi="Times New Roman" w:cs="Times New Roman"/>
          <w:sz w:val="24"/>
          <w:szCs w:val="24"/>
          <w:lang w:val="en-GB"/>
        </w:rPr>
        <w:t xml:space="preserve">needs of </w:t>
      </w:r>
      <w:r w:rsidR="000E177A" w:rsidRPr="00C540E2">
        <w:rPr>
          <w:rFonts w:ascii="Times New Roman" w:hAnsi="Times New Roman" w:cs="Times New Roman"/>
          <w:sz w:val="24"/>
          <w:szCs w:val="24"/>
          <w:lang w:val="en-GB"/>
        </w:rPr>
        <w:t>a single person (legal or private</w:t>
      </w:r>
      <w:r w:rsidR="00D1537A" w:rsidRPr="00C540E2">
        <w:rPr>
          <w:rFonts w:ascii="Times New Roman" w:hAnsi="Times New Roman" w:cs="Times New Roman"/>
          <w:sz w:val="24"/>
          <w:szCs w:val="24"/>
          <w:lang w:val="en-GB"/>
        </w:rPr>
        <w:t>).</w:t>
      </w:r>
    </w:p>
    <w:p w14:paraId="41448BF4" w14:textId="5F2B2C4A" w:rsidR="004633B4" w:rsidRPr="00C540E2" w:rsidRDefault="004633B4" w:rsidP="00C540E2">
      <w:pPr>
        <w:pStyle w:val="ListParagraph"/>
        <w:spacing w:after="120" w:line="240" w:lineRule="auto"/>
        <w:ind w:left="360"/>
        <w:jc w:val="both"/>
        <w:rPr>
          <w:rFonts w:ascii="Times New Roman" w:hAnsi="Times New Roman" w:cs="Times New Roman"/>
          <w:sz w:val="24"/>
          <w:szCs w:val="24"/>
          <w:lang w:val="en-GB"/>
        </w:rPr>
      </w:pPr>
    </w:p>
    <w:p w14:paraId="4F01D79D" w14:textId="4E85430B" w:rsidR="004B2DB9" w:rsidRPr="00C540E2" w:rsidRDefault="001E77E2"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 xml:space="preserve">Requirements for the provision of </w:t>
      </w:r>
      <w:r w:rsidR="004B2DB9" w:rsidRPr="00C540E2">
        <w:rPr>
          <w:rFonts w:ascii="Times New Roman" w:hAnsi="Times New Roman" w:cs="Times New Roman"/>
          <w:b/>
          <w:bCs/>
          <w:i/>
          <w:caps/>
          <w:sz w:val="24"/>
          <w:szCs w:val="24"/>
          <w:lang w:val="en-GB"/>
        </w:rPr>
        <w:t>DE MINIMIS</w:t>
      </w:r>
      <w:r w:rsidRPr="00C540E2">
        <w:rPr>
          <w:rFonts w:ascii="Times New Roman" w:hAnsi="Times New Roman" w:cs="Times New Roman"/>
          <w:b/>
          <w:bCs/>
          <w:caps/>
          <w:sz w:val="24"/>
          <w:szCs w:val="24"/>
          <w:lang w:val="en-GB"/>
        </w:rPr>
        <w:t xml:space="preserve"> aid</w:t>
      </w:r>
    </w:p>
    <w:p w14:paraId="2D1D31DC" w14:textId="77777777" w:rsidR="004633B4" w:rsidRPr="00C540E2" w:rsidRDefault="004633B4" w:rsidP="00C540E2">
      <w:pPr>
        <w:pStyle w:val="ListParagraph"/>
        <w:spacing w:after="120" w:line="240" w:lineRule="auto"/>
        <w:ind w:left="1080"/>
        <w:rPr>
          <w:rFonts w:ascii="Times New Roman" w:hAnsi="Times New Roman" w:cs="Times New Roman"/>
          <w:b/>
          <w:bCs/>
          <w:sz w:val="24"/>
          <w:szCs w:val="24"/>
          <w:lang w:val="en-GB"/>
        </w:rPr>
      </w:pPr>
    </w:p>
    <w:p w14:paraId="547F6703" w14:textId="6453ABF9" w:rsidR="004633B4" w:rsidRPr="00C540E2" w:rsidRDefault="001E243D" w:rsidP="00C540E2">
      <w:pPr>
        <w:pStyle w:val="ListParagraph"/>
        <w:numPr>
          <w:ilvl w:val="0"/>
          <w:numId w:val="3"/>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According to the Guidelines, </w:t>
      </w:r>
      <w:r w:rsidRPr="00C540E2">
        <w:rPr>
          <w:rFonts w:ascii="Times New Roman" w:hAnsi="Times New Roman" w:cs="Times New Roman"/>
          <w:i/>
          <w:iCs/>
          <w:sz w:val="24"/>
          <w:szCs w:val="24"/>
          <w:lang w:val="en-GB"/>
        </w:rPr>
        <w:t>de minimis</w:t>
      </w:r>
      <w:r w:rsidRPr="00C540E2">
        <w:rPr>
          <w:rFonts w:ascii="Times New Roman" w:hAnsi="Times New Roman" w:cs="Times New Roman"/>
          <w:sz w:val="24"/>
          <w:szCs w:val="24"/>
          <w:lang w:val="en-GB"/>
        </w:rPr>
        <w:t xml:space="preserve"> aid</w:t>
      </w:r>
      <w:r w:rsidR="006C5B1F" w:rsidRPr="00C540E2">
        <w:rPr>
          <w:rFonts w:ascii="Times New Roman" w:hAnsi="Times New Roman" w:cs="Times New Roman"/>
          <w:sz w:val="24"/>
          <w:szCs w:val="24"/>
          <w:lang w:val="en-GB"/>
        </w:rPr>
        <w:t xml:space="preserve"> is not provided. </w:t>
      </w:r>
      <w:bookmarkStart w:id="12" w:name="part_3d0c216de43945a48ce89847bd95fed4"/>
      <w:bookmarkEnd w:id="12"/>
    </w:p>
    <w:p w14:paraId="5D7CAB9B" w14:textId="77777777" w:rsidR="00936041" w:rsidRPr="00C540E2" w:rsidRDefault="00936041" w:rsidP="00C540E2">
      <w:pPr>
        <w:pStyle w:val="ListParagraph"/>
        <w:spacing w:after="120" w:line="240" w:lineRule="auto"/>
        <w:ind w:left="360"/>
        <w:jc w:val="both"/>
        <w:rPr>
          <w:rFonts w:ascii="Times New Roman" w:hAnsi="Times New Roman" w:cs="Times New Roman"/>
          <w:sz w:val="24"/>
          <w:szCs w:val="24"/>
          <w:lang w:val="en-GB"/>
        </w:rPr>
      </w:pPr>
    </w:p>
    <w:p w14:paraId="67D4AFA9" w14:textId="0A4EC186" w:rsidR="00063A27" w:rsidRPr="00C540E2" w:rsidRDefault="00036725"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 xml:space="preserve">Requirements for eligible project </w:t>
      </w:r>
      <w:r w:rsidR="00045F33" w:rsidRPr="00C540E2">
        <w:rPr>
          <w:rFonts w:ascii="Times New Roman" w:hAnsi="Times New Roman" w:cs="Times New Roman"/>
          <w:b/>
          <w:bCs/>
          <w:caps/>
          <w:sz w:val="24"/>
          <w:szCs w:val="24"/>
          <w:lang w:val="en-GB"/>
        </w:rPr>
        <w:t>costs and financing</w:t>
      </w:r>
    </w:p>
    <w:p w14:paraId="41F48B63" w14:textId="77777777" w:rsidR="00063A27" w:rsidRPr="00C540E2" w:rsidRDefault="00063A27" w:rsidP="00C540E2">
      <w:pPr>
        <w:pStyle w:val="ListParagraph"/>
        <w:spacing w:after="120" w:line="240" w:lineRule="auto"/>
        <w:ind w:left="1080"/>
        <w:jc w:val="both"/>
        <w:rPr>
          <w:rFonts w:ascii="Times New Roman" w:hAnsi="Times New Roman" w:cs="Times New Roman"/>
          <w:b/>
          <w:bCs/>
          <w:sz w:val="24"/>
          <w:szCs w:val="24"/>
          <w:lang w:val="en-GB"/>
        </w:rPr>
      </w:pPr>
    </w:p>
    <w:p w14:paraId="3E8E0CF8" w14:textId="74ED15B2" w:rsidR="00045F33" w:rsidRPr="00C540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Project costs shall comply with requirements which project costs are subject to, laid down in Chapter XIX of the MAFR and the eligibility requirements set out in Chapter 8 of the Regulation.</w:t>
      </w:r>
    </w:p>
    <w:p w14:paraId="6A945A9C" w14:textId="7D366F5E" w:rsidR="00045F33" w:rsidRPr="00C540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The minimum amount of mechanism and co-financing funds, which may be requested under this </w:t>
      </w:r>
      <w:r w:rsidR="008C05A4" w:rsidRPr="00C540E2">
        <w:rPr>
          <w:rFonts w:ascii="Times New Roman" w:eastAsia="Times New Roman" w:hAnsi="Times New Roman" w:cs="Times New Roman"/>
          <w:sz w:val="24"/>
          <w:szCs w:val="24"/>
          <w:lang w:val="en-GB" w:eastAsia="lt-LT"/>
        </w:rPr>
        <w:t>c</w:t>
      </w:r>
      <w:r w:rsidRPr="00C540E2">
        <w:rPr>
          <w:rFonts w:ascii="Times New Roman" w:eastAsia="Times New Roman" w:hAnsi="Times New Roman" w:cs="Times New Roman"/>
          <w:sz w:val="24"/>
          <w:szCs w:val="24"/>
          <w:lang w:val="en-GB" w:eastAsia="lt-LT"/>
        </w:rPr>
        <w:t xml:space="preserve">all, </w:t>
      </w:r>
      <w:r w:rsidR="008C05A4" w:rsidRPr="00C540E2">
        <w:rPr>
          <w:rFonts w:ascii="Times New Roman" w:eastAsia="Times New Roman" w:hAnsi="Times New Roman" w:cs="Times New Roman"/>
          <w:sz w:val="24"/>
          <w:szCs w:val="24"/>
          <w:lang w:val="en-GB" w:eastAsia="lt-LT"/>
        </w:rPr>
        <w:t>shall be</w:t>
      </w:r>
      <w:r w:rsidRPr="00C540E2">
        <w:rPr>
          <w:rFonts w:ascii="Times New Roman" w:eastAsia="Times New Roman" w:hAnsi="Times New Roman" w:cs="Times New Roman"/>
          <w:sz w:val="24"/>
          <w:szCs w:val="24"/>
          <w:lang w:val="en-GB" w:eastAsia="lt-LT"/>
        </w:rPr>
        <w:t xml:space="preserve"> EUR </w:t>
      </w:r>
      <w:r w:rsidR="006C5B1F" w:rsidRPr="00C540E2">
        <w:rPr>
          <w:rFonts w:ascii="Times New Roman" w:eastAsia="Times New Roman" w:hAnsi="Times New Roman" w:cs="Times New Roman"/>
          <w:sz w:val="24"/>
          <w:szCs w:val="24"/>
          <w:lang w:val="en-GB" w:eastAsia="lt-LT"/>
        </w:rPr>
        <w:t>20</w:t>
      </w:r>
      <w:r w:rsidRPr="00C540E2">
        <w:rPr>
          <w:rFonts w:ascii="Times New Roman" w:eastAsia="Times New Roman" w:hAnsi="Times New Roman" w:cs="Times New Roman"/>
          <w:sz w:val="24"/>
          <w:szCs w:val="24"/>
          <w:lang w:val="en-GB" w:eastAsia="lt-LT"/>
        </w:rPr>
        <w:t>0 000.00 (</w:t>
      </w:r>
      <w:r w:rsidR="006C5B1F" w:rsidRPr="00C540E2">
        <w:rPr>
          <w:rFonts w:ascii="Times New Roman" w:eastAsia="Times New Roman" w:hAnsi="Times New Roman" w:cs="Times New Roman"/>
          <w:sz w:val="24"/>
          <w:szCs w:val="24"/>
          <w:lang w:val="en-GB" w:eastAsia="lt-LT"/>
        </w:rPr>
        <w:t>two hundred</w:t>
      </w:r>
      <w:r w:rsidRPr="00C540E2">
        <w:rPr>
          <w:rFonts w:ascii="Times New Roman" w:eastAsia="Times New Roman" w:hAnsi="Times New Roman" w:cs="Times New Roman"/>
          <w:sz w:val="24"/>
          <w:szCs w:val="24"/>
          <w:lang w:val="en-GB" w:eastAsia="lt-LT"/>
        </w:rPr>
        <w:t xml:space="preserve"> thousand euro) and the maximum </w:t>
      </w:r>
      <w:r w:rsidR="00E07B9E" w:rsidRPr="00C540E2">
        <w:rPr>
          <w:rFonts w:ascii="Times New Roman" w:eastAsia="Times New Roman" w:hAnsi="Times New Roman" w:cs="Times New Roman"/>
          <w:sz w:val="24"/>
          <w:szCs w:val="24"/>
          <w:lang w:val="en-GB" w:eastAsia="lt-LT"/>
        </w:rPr>
        <w:t>shall be</w:t>
      </w:r>
      <w:r w:rsidRPr="00C540E2">
        <w:rPr>
          <w:rFonts w:ascii="Times New Roman" w:eastAsia="Times New Roman" w:hAnsi="Times New Roman" w:cs="Times New Roman"/>
          <w:sz w:val="24"/>
          <w:szCs w:val="24"/>
          <w:lang w:val="en-GB" w:eastAsia="lt-LT"/>
        </w:rPr>
        <w:t xml:space="preserve"> EUR </w:t>
      </w:r>
      <w:r w:rsidR="00EE0AC3" w:rsidRPr="00C540E2">
        <w:rPr>
          <w:rFonts w:ascii="Times New Roman" w:eastAsia="Times New Roman" w:hAnsi="Times New Roman" w:cs="Times New Roman"/>
          <w:sz w:val="24"/>
          <w:szCs w:val="24"/>
          <w:lang w:val="en-GB" w:eastAsia="lt-LT"/>
        </w:rPr>
        <w:t>26</w:t>
      </w:r>
      <w:r w:rsidR="006C5B1F" w:rsidRPr="00C540E2">
        <w:rPr>
          <w:rFonts w:ascii="Times New Roman" w:eastAsia="Times New Roman" w:hAnsi="Times New Roman" w:cs="Times New Roman"/>
          <w:sz w:val="24"/>
          <w:szCs w:val="24"/>
          <w:lang w:val="en-GB" w:eastAsia="lt-LT"/>
        </w:rPr>
        <w:t>0 </w:t>
      </w:r>
      <w:r w:rsidRPr="00C540E2">
        <w:rPr>
          <w:rFonts w:ascii="Times New Roman" w:eastAsia="Times New Roman" w:hAnsi="Times New Roman" w:cs="Times New Roman"/>
          <w:sz w:val="24"/>
          <w:szCs w:val="24"/>
          <w:lang w:val="en-GB" w:eastAsia="lt-LT"/>
        </w:rPr>
        <w:t>000.00 (two hundred</w:t>
      </w:r>
      <w:r w:rsidR="00EE0AC3" w:rsidRPr="00C540E2">
        <w:rPr>
          <w:rFonts w:ascii="Times New Roman" w:eastAsia="Times New Roman" w:hAnsi="Times New Roman" w:cs="Times New Roman"/>
          <w:sz w:val="24"/>
          <w:szCs w:val="24"/>
          <w:lang w:val="en-GB" w:eastAsia="lt-LT"/>
        </w:rPr>
        <w:t xml:space="preserve"> sixty</w:t>
      </w:r>
      <w:r w:rsidRPr="00C540E2">
        <w:rPr>
          <w:rFonts w:ascii="Times New Roman" w:eastAsia="Times New Roman" w:hAnsi="Times New Roman" w:cs="Times New Roman"/>
          <w:sz w:val="24"/>
          <w:szCs w:val="24"/>
          <w:lang w:val="en-GB" w:eastAsia="lt-LT"/>
        </w:rPr>
        <w:t xml:space="preserve"> thousand euro).</w:t>
      </w:r>
    </w:p>
    <w:p w14:paraId="58650EAD" w14:textId="075A82EC" w:rsidR="00045F33" w:rsidRPr="00C540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The maximum share of the project, which may be financed from the mechanism and co-financing funds</w:t>
      </w:r>
      <w:r w:rsidR="008C05A4" w:rsidRPr="00C540E2">
        <w:rPr>
          <w:rFonts w:ascii="Times New Roman" w:eastAsia="Times New Roman" w:hAnsi="Times New Roman" w:cs="Times New Roman"/>
          <w:sz w:val="24"/>
          <w:szCs w:val="24"/>
          <w:lang w:val="en-GB" w:eastAsia="lt-LT"/>
        </w:rPr>
        <w:t xml:space="preserve">, shall be </w:t>
      </w:r>
      <w:r w:rsidR="00EE0AC3" w:rsidRPr="00C540E2">
        <w:rPr>
          <w:rFonts w:ascii="Times New Roman" w:eastAsia="Times New Roman" w:hAnsi="Times New Roman" w:cs="Times New Roman"/>
          <w:sz w:val="24"/>
          <w:szCs w:val="24"/>
          <w:lang w:val="en-GB" w:eastAsia="lt-LT"/>
        </w:rPr>
        <w:t>100</w:t>
      </w:r>
      <w:r w:rsidRPr="00C540E2">
        <w:rPr>
          <w:rFonts w:ascii="Times New Roman" w:eastAsia="Times New Roman" w:hAnsi="Times New Roman" w:cs="Times New Roman"/>
          <w:sz w:val="24"/>
          <w:szCs w:val="24"/>
          <w:lang w:val="en-GB" w:eastAsia="lt-LT"/>
        </w:rPr>
        <w:t xml:space="preserve">% of the total eligible project costs. </w:t>
      </w:r>
    </w:p>
    <w:p w14:paraId="1EA4F7EB" w14:textId="445AFBA7" w:rsidR="00045F33" w:rsidRPr="00C540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The </w:t>
      </w:r>
      <w:r w:rsidR="00081450" w:rsidRPr="00C540E2">
        <w:rPr>
          <w:rFonts w:ascii="Times New Roman" w:eastAsia="Times New Roman" w:hAnsi="Times New Roman" w:cs="Times New Roman"/>
          <w:sz w:val="24"/>
          <w:szCs w:val="24"/>
          <w:lang w:val="en-GB" w:eastAsia="lt-LT"/>
        </w:rPr>
        <w:t>A</w:t>
      </w:r>
      <w:r w:rsidRPr="00C540E2">
        <w:rPr>
          <w:rFonts w:ascii="Times New Roman" w:eastAsia="Times New Roman" w:hAnsi="Times New Roman" w:cs="Times New Roman"/>
          <w:sz w:val="24"/>
          <w:szCs w:val="24"/>
          <w:lang w:val="en-GB" w:eastAsia="lt-LT"/>
        </w:rPr>
        <w:t xml:space="preserve">pplicant and / or </w:t>
      </w:r>
      <w:r w:rsidR="005111D6" w:rsidRPr="00C540E2">
        <w:rPr>
          <w:rFonts w:ascii="Times New Roman" w:eastAsia="Times New Roman" w:hAnsi="Times New Roman" w:cs="Times New Roman"/>
          <w:sz w:val="24"/>
          <w:szCs w:val="24"/>
          <w:lang w:val="en-GB" w:eastAsia="lt-LT"/>
        </w:rPr>
        <w:t xml:space="preserve">the </w:t>
      </w:r>
      <w:r w:rsidR="00081450" w:rsidRPr="00C540E2">
        <w:rPr>
          <w:rFonts w:ascii="Times New Roman" w:eastAsia="Times New Roman" w:hAnsi="Times New Roman" w:cs="Times New Roman"/>
          <w:sz w:val="24"/>
          <w:szCs w:val="24"/>
          <w:lang w:val="en-GB" w:eastAsia="lt-LT"/>
        </w:rPr>
        <w:t>P</w:t>
      </w:r>
      <w:r w:rsidRPr="00C540E2">
        <w:rPr>
          <w:rFonts w:ascii="Times New Roman" w:eastAsia="Times New Roman" w:hAnsi="Times New Roman" w:cs="Times New Roman"/>
          <w:sz w:val="24"/>
          <w:szCs w:val="24"/>
          <w:lang w:val="en-GB" w:eastAsia="lt-LT"/>
        </w:rPr>
        <w:t xml:space="preserve">artner may, </w:t>
      </w:r>
      <w:r w:rsidR="005111D6" w:rsidRPr="00C540E2">
        <w:rPr>
          <w:rFonts w:ascii="Times New Roman" w:eastAsia="Times New Roman" w:hAnsi="Times New Roman" w:cs="Times New Roman"/>
          <w:sz w:val="24"/>
          <w:szCs w:val="24"/>
          <w:lang w:val="en-GB" w:eastAsia="lt-LT"/>
        </w:rPr>
        <w:t>at</w:t>
      </w:r>
      <w:r w:rsidRPr="00C540E2">
        <w:rPr>
          <w:rFonts w:ascii="Times New Roman" w:eastAsia="Times New Roman" w:hAnsi="Times New Roman" w:cs="Times New Roman"/>
          <w:sz w:val="24"/>
          <w:szCs w:val="24"/>
          <w:lang w:val="en-GB" w:eastAsia="lt-LT"/>
        </w:rPr>
        <w:t xml:space="preserve"> its own initiative and </w:t>
      </w:r>
      <w:r w:rsidR="005111D6" w:rsidRPr="00C540E2">
        <w:rPr>
          <w:rFonts w:ascii="Times New Roman" w:eastAsia="Times New Roman" w:hAnsi="Times New Roman" w:cs="Times New Roman"/>
          <w:sz w:val="24"/>
          <w:szCs w:val="24"/>
          <w:lang w:val="en-GB" w:eastAsia="lt-LT"/>
        </w:rPr>
        <w:t>funds of its own and/or other sources</w:t>
      </w:r>
      <w:r w:rsidRPr="00C540E2">
        <w:rPr>
          <w:rFonts w:ascii="Times New Roman" w:eastAsia="Times New Roman" w:hAnsi="Times New Roman" w:cs="Times New Roman"/>
          <w:sz w:val="24"/>
          <w:szCs w:val="24"/>
          <w:lang w:val="en-GB" w:eastAsia="lt-LT"/>
        </w:rPr>
        <w:t xml:space="preserve">, contribute to the implementation of the project </w:t>
      </w:r>
      <w:r w:rsidR="005111D6" w:rsidRPr="00C540E2">
        <w:rPr>
          <w:rFonts w:ascii="Times New Roman" w:eastAsia="Times New Roman" w:hAnsi="Times New Roman" w:cs="Times New Roman"/>
          <w:sz w:val="24"/>
          <w:szCs w:val="24"/>
          <w:lang w:val="en-GB" w:eastAsia="lt-LT"/>
        </w:rPr>
        <w:t>more than the requested amount.</w:t>
      </w:r>
    </w:p>
    <w:p w14:paraId="2B252883" w14:textId="29E7E69F" w:rsidR="00630D29" w:rsidRPr="00C540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Eligible costs shall be directly linked to the implementation of the project and necessary to achieve the goal and the intended results of the project. The principles of economy, efficiency and effectiveness shall be followed when planning a project budget.</w:t>
      </w:r>
    </w:p>
    <w:p w14:paraId="4B8FED8D" w14:textId="4D1C035E" w:rsidR="00630D29" w:rsidRPr="00C540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The implementation of project activities may be commenced and project costs shall be eligible from the date of the decision on project financing. </w:t>
      </w:r>
      <w:r w:rsidR="00667E13" w:rsidRPr="00C540E2">
        <w:rPr>
          <w:rFonts w:ascii="Times New Roman" w:eastAsia="Times New Roman" w:hAnsi="Times New Roman" w:cs="Times New Roman"/>
          <w:sz w:val="24"/>
          <w:szCs w:val="24"/>
          <w:lang w:val="en-GB" w:eastAsia="lt-LT"/>
        </w:rPr>
        <w:t>Inclusion of an expenditure item into the project budget template approved by the Programme Operator cannot be considered as confirmation of eligibility of that expenditure item. A</w:t>
      </w:r>
      <w:r w:rsidRPr="00C540E2">
        <w:rPr>
          <w:rFonts w:ascii="Times New Roman" w:eastAsia="Times New Roman" w:hAnsi="Times New Roman" w:cs="Times New Roman"/>
          <w:sz w:val="24"/>
          <w:szCs w:val="24"/>
          <w:lang w:val="en-GB" w:eastAsia="lt-LT"/>
        </w:rPr>
        <w:t xml:space="preserve">ll project activities shall be completed and all costs shall be incurred and paid during the period of eligibility of project costs for payment till the deadline for the </w:t>
      </w:r>
      <w:r w:rsidR="00895E54" w:rsidRPr="00C540E2">
        <w:rPr>
          <w:rFonts w:ascii="Times New Roman" w:eastAsia="Times New Roman" w:hAnsi="Times New Roman" w:cs="Times New Roman"/>
          <w:sz w:val="24"/>
          <w:szCs w:val="24"/>
          <w:lang w:val="en-GB" w:eastAsia="lt-LT"/>
        </w:rPr>
        <w:t>eligibility</w:t>
      </w:r>
      <w:r w:rsidRPr="00C540E2">
        <w:rPr>
          <w:rFonts w:ascii="Times New Roman" w:eastAsia="Times New Roman" w:hAnsi="Times New Roman" w:cs="Times New Roman"/>
          <w:sz w:val="24"/>
          <w:szCs w:val="24"/>
          <w:lang w:val="en-GB" w:eastAsia="lt-LT"/>
        </w:rPr>
        <w:t xml:space="preserve"> of project costs for payment indicated in the project </w:t>
      </w:r>
      <w:r w:rsidR="0081545D" w:rsidRPr="00C540E2">
        <w:rPr>
          <w:rFonts w:ascii="Times New Roman" w:eastAsia="Times New Roman" w:hAnsi="Times New Roman" w:cs="Times New Roman"/>
          <w:sz w:val="24"/>
          <w:szCs w:val="24"/>
          <w:lang w:val="en-GB" w:eastAsia="lt-LT"/>
        </w:rPr>
        <w:t>contract</w:t>
      </w:r>
      <w:r w:rsidRPr="00C540E2">
        <w:rPr>
          <w:rFonts w:ascii="Times New Roman" w:eastAsia="Times New Roman" w:hAnsi="Times New Roman" w:cs="Times New Roman"/>
          <w:sz w:val="24"/>
          <w:szCs w:val="24"/>
          <w:lang w:val="en-GB" w:eastAsia="lt-LT"/>
        </w:rPr>
        <w:t xml:space="preserve">, except for costs, which were invoiced in the last month of the period of eligibility of costs for financing and which are considered </w:t>
      </w:r>
      <w:r w:rsidR="00895E54" w:rsidRPr="00C540E2">
        <w:rPr>
          <w:rFonts w:ascii="Times New Roman" w:eastAsia="Times New Roman" w:hAnsi="Times New Roman" w:cs="Times New Roman"/>
          <w:sz w:val="24"/>
          <w:szCs w:val="24"/>
          <w:lang w:val="en-GB" w:eastAsia="lt-LT"/>
        </w:rPr>
        <w:t>eligible</w:t>
      </w:r>
      <w:r w:rsidRPr="00C540E2">
        <w:rPr>
          <w:rFonts w:ascii="Times New Roman" w:eastAsia="Times New Roman" w:hAnsi="Times New Roman" w:cs="Times New Roman"/>
          <w:sz w:val="24"/>
          <w:szCs w:val="24"/>
          <w:lang w:val="en-GB" w:eastAsia="lt-LT"/>
        </w:rPr>
        <w:t xml:space="preserve"> for financing, if the invoice substantiating the project costs is paid within 30 days from the end of the period of eligibility of project costs for financing.</w:t>
      </w:r>
      <w:r w:rsidR="008F6928" w:rsidRPr="00C540E2">
        <w:rPr>
          <w:rFonts w:ascii="Times New Roman" w:eastAsia="Times New Roman" w:hAnsi="Times New Roman" w:cs="Times New Roman"/>
          <w:sz w:val="24"/>
          <w:szCs w:val="24"/>
          <w:lang w:val="en-GB" w:eastAsia="lt-LT"/>
        </w:rPr>
        <w:t xml:space="preserve"> Final date of eligibility of expenditure in projects is 30</w:t>
      </w:r>
      <w:r w:rsidR="000B711F" w:rsidRPr="00C540E2">
        <w:rPr>
          <w:rFonts w:ascii="Times New Roman" w:eastAsia="Times New Roman" w:hAnsi="Times New Roman" w:cs="Times New Roman"/>
          <w:sz w:val="24"/>
          <w:szCs w:val="24"/>
          <w:lang w:val="en-GB" w:eastAsia="lt-LT"/>
        </w:rPr>
        <w:t xml:space="preserve"> </w:t>
      </w:r>
      <w:r w:rsidR="008F6928" w:rsidRPr="00C540E2">
        <w:rPr>
          <w:rFonts w:ascii="Times New Roman" w:eastAsia="Times New Roman" w:hAnsi="Times New Roman" w:cs="Times New Roman"/>
          <w:sz w:val="24"/>
          <w:szCs w:val="24"/>
          <w:lang w:val="en-GB" w:eastAsia="lt-LT"/>
        </w:rPr>
        <w:t xml:space="preserve">April 2024. </w:t>
      </w:r>
    </w:p>
    <w:p w14:paraId="6B990A65" w14:textId="6F8D4B6A" w:rsidR="00630D29" w:rsidRPr="00C540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The project and project activities may not </w:t>
      </w:r>
      <w:r w:rsidR="00431370" w:rsidRPr="00C540E2">
        <w:rPr>
          <w:rFonts w:ascii="Times New Roman" w:eastAsia="Times New Roman" w:hAnsi="Times New Roman" w:cs="Times New Roman"/>
          <w:sz w:val="24"/>
          <w:szCs w:val="24"/>
          <w:lang w:val="en-GB" w:eastAsia="lt-LT"/>
        </w:rPr>
        <w:t>have been</w:t>
      </w:r>
      <w:r w:rsidRPr="00C540E2">
        <w:rPr>
          <w:rFonts w:ascii="Times New Roman" w:eastAsia="Times New Roman" w:hAnsi="Times New Roman" w:cs="Times New Roman"/>
          <w:sz w:val="24"/>
          <w:szCs w:val="24"/>
          <w:lang w:val="en-GB" w:eastAsia="lt-LT"/>
        </w:rPr>
        <w:t xml:space="preserve"> </w:t>
      </w:r>
      <w:r w:rsidR="00431370" w:rsidRPr="00C540E2">
        <w:rPr>
          <w:rFonts w:ascii="Times New Roman" w:eastAsia="Times New Roman" w:hAnsi="Times New Roman" w:cs="Times New Roman"/>
          <w:sz w:val="24"/>
          <w:szCs w:val="24"/>
          <w:lang w:val="en-GB" w:eastAsia="lt-LT"/>
        </w:rPr>
        <w:t>financed</w:t>
      </w:r>
      <w:r w:rsidRPr="00C540E2">
        <w:rPr>
          <w:rFonts w:ascii="Times New Roman" w:eastAsia="Times New Roman" w:hAnsi="Times New Roman" w:cs="Times New Roman"/>
          <w:sz w:val="24"/>
          <w:szCs w:val="24"/>
          <w:lang w:val="en-GB" w:eastAsia="lt-LT"/>
        </w:rPr>
        <w:t xml:space="preserve"> or</w:t>
      </w:r>
      <w:r w:rsidR="00431370" w:rsidRPr="00C540E2">
        <w:rPr>
          <w:rFonts w:ascii="Times New Roman" w:eastAsia="Times New Roman" w:hAnsi="Times New Roman" w:cs="Times New Roman"/>
          <w:sz w:val="24"/>
          <w:szCs w:val="24"/>
          <w:lang w:val="en-GB" w:eastAsia="lt-LT"/>
        </w:rPr>
        <w:t xml:space="preserve"> be</w:t>
      </w:r>
      <w:r w:rsidRPr="00C540E2">
        <w:rPr>
          <w:rFonts w:ascii="Times New Roman" w:eastAsia="Times New Roman" w:hAnsi="Times New Roman" w:cs="Times New Roman"/>
          <w:sz w:val="24"/>
          <w:szCs w:val="24"/>
          <w:lang w:val="en-GB" w:eastAsia="lt-LT"/>
        </w:rPr>
        <w:t xml:space="preserve"> </w:t>
      </w:r>
      <w:r w:rsidR="00431370" w:rsidRPr="00C540E2">
        <w:rPr>
          <w:rFonts w:ascii="Times New Roman" w:eastAsia="Times New Roman" w:hAnsi="Times New Roman" w:cs="Times New Roman"/>
          <w:sz w:val="24"/>
          <w:szCs w:val="24"/>
          <w:lang w:val="en-GB" w:eastAsia="lt-LT"/>
        </w:rPr>
        <w:t xml:space="preserve">financed, or, having granted financing, submitted for financing from other programmes financed from state budget funds, other funds or </w:t>
      </w:r>
      <w:r w:rsidRPr="00C540E2">
        <w:rPr>
          <w:rFonts w:ascii="Times New Roman" w:eastAsia="Times New Roman" w:hAnsi="Times New Roman" w:cs="Times New Roman"/>
          <w:sz w:val="24"/>
          <w:szCs w:val="24"/>
          <w:lang w:val="en-GB" w:eastAsia="lt-LT"/>
        </w:rPr>
        <w:t>financial mechanisms (European Union Structural Funds, the Swiss Confederation, etc.) and other EEA Financial Mechanism program</w:t>
      </w:r>
      <w:r w:rsidR="00431370" w:rsidRPr="00C540E2">
        <w:rPr>
          <w:rFonts w:ascii="Times New Roman" w:eastAsia="Times New Roman" w:hAnsi="Times New Roman" w:cs="Times New Roman"/>
          <w:sz w:val="24"/>
          <w:szCs w:val="24"/>
          <w:lang w:val="en-GB" w:eastAsia="lt-LT"/>
        </w:rPr>
        <w:t>me</w:t>
      </w:r>
      <w:r w:rsidRPr="00C540E2">
        <w:rPr>
          <w:rFonts w:ascii="Times New Roman" w:eastAsia="Times New Roman" w:hAnsi="Times New Roman" w:cs="Times New Roman"/>
          <w:sz w:val="24"/>
          <w:szCs w:val="24"/>
          <w:lang w:val="en-GB" w:eastAsia="lt-LT"/>
        </w:rPr>
        <w:t>s</w:t>
      </w:r>
      <w:r w:rsidR="00F107E7" w:rsidRPr="00C540E2">
        <w:rPr>
          <w:rFonts w:ascii="Times New Roman" w:eastAsia="Times New Roman" w:hAnsi="Times New Roman" w:cs="Times New Roman"/>
          <w:sz w:val="24"/>
          <w:szCs w:val="24"/>
          <w:lang w:val="en-GB" w:eastAsia="lt-LT"/>
        </w:rPr>
        <w:t>,</w:t>
      </w:r>
      <w:r w:rsidRPr="00C540E2">
        <w:rPr>
          <w:rFonts w:ascii="Times New Roman" w:eastAsia="Times New Roman" w:hAnsi="Times New Roman" w:cs="Times New Roman"/>
          <w:sz w:val="24"/>
          <w:szCs w:val="24"/>
          <w:lang w:val="en-GB" w:eastAsia="lt-LT"/>
        </w:rPr>
        <w:t xml:space="preserve"> if</w:t>
      </w:r>
      <w:r w:rsidR="00431370" w:rsidRPr="00C540E2">
        <w:rPr>
          <w:rFonts w:ascii="Times New Roman" w:eastAsia="Times New Roman" w:hAnsi="Times New Roman" w:cs="Times New Roman"/>
          <w:sz w:val="24"/>
          <w:szCs w:val="24"/>
          <w:lang w:val="en-GB" w:eastAsia="lt-LT"/>
        </w:rPr>
        <w:t xml:space="preserve"> this may lead to eligible </w:t>
      </w:r>
      <w:r w:rsidRPr="00C540E2">
        <w:rPr>
          <w:rFonts w:ascii="Times New Roman" w:eastAsia="Times New Roman" w:hAnsi="Times New Roman" w:cs="Times New Roman"/>
          <w:sz w:val="24"/>
          <w:szCs w:val="24"/>
          <w:lang w:val="en-GB" w:eastAsia="lt-LT"/>
        </w:rPr>
        <w:t xml:space="preserve">costs of the project or </w:t>
      </w:r>
      <w:r w:rsidR="00F107E7" w:rsidRPr="00C540E2">
        <w:rPr>
          <w:rFonts w:ascii="Times New Roman" w:eastAsia="Times New Roman" w:hAnsi="Times New Roman" w:cs="Times New Roman"/>
          <w:sz w:val="24"/>
          <w:szCs w:val="24"/>
          <w:lang w:val="en-GB" w:eastAsia="lt-LT"/>
        </w:rPr>
        <w:t>a</w:t>
      </w:r>
      <w:r w:rsidR="00431370" w:rsidRPr="00C540E2">
        <w:rPr>
          <w:rFonts w:ascii="Times New Roman" w:eastAsia="Times New Roman" w:hAnsi="Times New Roman" w:cs="Times New Roman"/>
          <w:sz w:val="24"/>
          <w:szCs w:val="24"/>
          <w:lang w:val="en-GB" w:eastAsia="lt-LT"/>
        </w:rPr>
        <w:t xml:space="preserve"> </w:t>
      </w:r>
      <w:r w:rsidRPr="00C540E2">
        <w:rPr>
          <w:rFonts w:ascii="Times New Roman" w:eastAsia="Times New Roman" w:hAnsi="Times New Roman" w:cs="Times New Roman"/>
          <w:sz w:val="24"/>
          <w:szCs w:val="24"/>
          <w:lang w:val="en-GB" w:eastAsia="lt-LT"/>
        </w:rPr>
        <w:t xml:space="preserve">part </w:t>
      </w:r>
      <w:r w:rsidR="00F107E7" w:rsidRPr="00C540E2">
        <w:rPr>
          <w:rFonts w:ascii="Times New Roman" w:eastAsia="Times New Roman" w:hAnsi="Times New Roman" w:cs="Times New Roman"/>
          <w:sz w:val="24"/>
          <w:szCs w:val="24"/>
          <w:lang w:val="en-GB" w:eastAsia="lt-LT"/>
        </w:rPr>
        <w:t xml:space="preserve">thereof </w:t>
      </w:r>
      <w:r w:rsidR="00431370" w:rsidRPr="00C540E2">
        <w:rPr>
          <w:rFonts w:ascii="Times New Roman" w:eastAsia="Times New Roman" w:hAnsi="Times New Roman" w:cs="Times New Roman"/>
          <w:sz w:val="24"/>
          <w:szCs w:val="24"/>
          <w:lang w:val="en-GB" w:eastAsia="lt-LT"/>
        </w:rPr>
        <w:t>being financed several times</w:t>
      </w:r>
      <w:r w:rsidRPr="00C540E2">
        <w:rPr>
          <w:rFonts w:ascii="Times New Roman" w:eastAsia="Times New Roman" w:hAnsi="Times New Roman" w:cs="Times New Roman"/>
          <w:sz w:val="24"/>
          <w:szCs w:val="24"/>
          <w:lang w:val="en-GB" w:eastAsia="lt-LT"/>
        </w:rPr>
        <w:t>, including de minimis aid.</w:t>
      </w:r>
    </w:p>
    <w:p w14:paraId="6930AC2A" w14:textId="46AC9AC4" w:rsidR="00630D29" w:rsidRPr="00C540E2" w:rsidRDefault="00431370"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Calculation (</w:t>
      </w:r>
      <w:r w:rsidR="00F107E7" w:rsidRPr="00C540E2">
        <w:rPr>
          <w:rFonts w:ascii="Times New Roman" w:eastAsia="Times New Roman" w:hAnsi="Times New Roman" w:cs="Times New Roman"/>
          <w:sz w:val="24"/>
          <w:szCs w:val="24"/>
          <w:lang w:val="en-GB" w:eastAsia="lt-LT"/>
        </w:rPr>
        <w:t>substantiation</w:t>
      </w:r>
      <w:r w:rsidRPr="00C540E2">
        <w:rPr>
          <w:rFonts w:ascii="Times New Roman" w:eastAsia="Times New Roman" w:hAnsi="Times New Roman" w:cs="Times New Roman"/>
          <w:sz w:val="24"/>
          <w:szCs w:val="24"/>
          <w:lang w:val="en-GB" w:eastAsia="lt-LT"/>
        </w:rPr>
        <w:t>)</w:t>
      </w:r>
      <w:r w:rsidR="00630D29" w:rsidRPr="00C540E2">
        <w:rPr>
          <w:rFonts w:ascii="Times New Roman" w:eastAsia="Times New Roman" w:hAnsi="Times New Roman" w:cs="Times New Roman"/>
          <w:sz w:val="24"/>
          <w:szCs w:val="24"/>
          <w:lang w:val="en-GB" w:eastAsia="lt-LT"/>
        </w:rPr>
        <w:t xml:space="preserve"> of project costs shall be submitted </w:t>
      </w:r>
      <w:r w:rsidRPr="00C540E2">
        <w:rPr>
          <w:rFonts w:ascii="Times New Roman" w:eastAsia="Times New Roman" w:hAnsi="Times New Roman" w:cs="Times New Roman"/>
          <w:sz w:val="24"/>
          <w:szCs w:val="24"/>
          <w:lang w:val="en-GB" w:eastAsia="lt-LT"/>
        </w:rPr>
        <w:t>along</w:t>
      </w:r>
      <w:r w:rsidR="00630D29" w:rsidRPr="00C540E2">
        <w:rPr>
          <w:rFonts w:ascii="Times New Roman" w:eastAsia="Times New Roman" w:hAnsi="Times New Roman" w:cs="Times New Roman"/>
          <w:sz w:val="24"/>
          <w:szCs w:val="24"/>
          <w:lang w:val="en-GB" w:eastAsia="lt-LT"/>
        </w:rPr>
        <w:t xml:space="preserve"> with the planned project budget. In </w:t>
      </w:r>
      <w:r w:rsidRPr="00C540E2">
        <w:rPr>
          <w:rFonts w:ascii="Times New Roman" w:eastAsia="Times New Roman" w:hAnsi="Times New Roman" w:cs="Times New Roman"/>
          <w:sz w:val="24"/>
          <w:szCs w:val="24"/>
          <w:lang w:val="en-GB" w:eastAsia="lt-LT"/>
        </w:rPr>
        <w:t xml:space="preserve">cases where costs are </w:t>
      </w:r>
      <w:r w:rsidR="00630D29" w:rsidRPr="00C540E2">
        <w:rPr>
          <w:rFonts w:ascii="Times New Roman" w:eastAsia="Times New Roman" w:hAnsi="Times New Roman" w:cs="Times New Roman"/>
          <w:sz w:val="24"/>
          <w:szCs w:val="24"/>
          <w:lang w:val="en-GB" w:eastAsia="lt-LT"/>
        </w:rPr>
        <w:t>incurred in connection with (public) procurement (</w:t>
      </w:r>
      <w:r w:rsidRPr="00C540E2">
        <w:rPr>
          <w:rFonts w:ascii="Times New Roman" w:eastAsia="Times New Roman" w:hAnsi="Times New Roman" w:cs="Times New Roman"/>
          <w:sz w:val="24"/>
          <w:szCs w:val="24"/>
          <w:lang w:val="en-GB" w:eastAsia="lt-LT"/>
        </w:rPr>
        <w:t xml:space="preserve">except for costs to be </w:t>
      </w:r>
      <w:r w:rsidR="00630D29" w:rsidRPr="00C540E2">
        <w:rPr>
          <w:rFonts w:ascii="Times New Roman" w:eastAsia="Times New Roman" w:hAnsi="Times New Roman" w:cs="Times New Roman"/>
          <w:sz w:val="24"/>
          <w:szCs w:val="24"/>
          <w:lang w:val="en-GB" w:eastAsia="lt-LT"/>
        </w:rPr>
        <w:t>declared and</w:t>
      </w:r>
      <w:r w:rsidRPr="00C540E2">
        <w:rPr>
          <w:rFonts w:ascii="Times New Roman" w:eastAsia="Times New Roman" w:hAnsi="Times New Roman" w:cs="Times New Roman"/>
          <w:sz w:val="24"/>
          <w:szCs w:val="24"/>
          <w:lang w:val="en-GB" w:eastAsia="lt-LT"/>
        </w:rPr>
        <w:t xml:space="preserve"> paid in a</w:t>
      </w:r>
      <w:r w:rsidR="00630D29" w:rsidRPr="00C540E2">
        <w:rPr>
          <w:rFonts w:ascii="Times New Roman" w:eastAsia="Times New Roman" w:hAnsi="Times New Roman" w:cs="Times New Roman"/>
          <w:sz w:val="24"/>
          <w:szCs w:val="24"/>
          <w:lang w:val="en-GB" w:eastAsia="lt-LT"/>
        </w:rPr>
        <w:t xml:space="preserve"> simplified</w:t>
      </w:r>
      <w:r w:rsidRPr="00C540E2">
        <w:rPr>
          <w:rFonts w:ascii="Times New Roman" w:eastAsia="Times New Roman" w:hAnsi="Times New Roman" w:cs="Times New Roman"/>
          <w:sz w:val="24"/>
          <w:szCs w:val="24"/>
          <w:lang w:val="en-GB" w:eastAsia="lt-LT"/>
        </w:rPr>
        <w:t xml:space="preserve"> procedure</w:t>
      </w:r>
      <w:r w:rsidR="00630D29" w:rsidRPr="00C540E2">
        <w:rPr>
          <w:rFonts w:ascii="Times New Roman" w:eastAsia="Times New Roman" w:hAnsi="Times New Roman" w:cs="Times New Roman"/>
          <w:sz w:val="24"/>
          <w:szCs w:val="24"/>
          <w:lang w:val="en-GB" w:eastAsia="lt-LT"/>
        </w:rPr>
        <w:t xml:space="preserve">), the planned </w:t>
      </w:r>
      <w:r w:rsidRPr="00C540E2">
        <w:rPr>
          <w:rFonts w:ascii="Times New Roman" w:eastAsia="Times New Roman" w:hAnsi="Times New Roman" w:cs="Times New Roman"/>
          <w:sz w:val="24"/>
          <w:szCs w:val="24"/>
          <w:lang w:val="en-GB" w:eastAsia="lt-LT"/>
        </w:rPr>
        <w:t>costs</w:t>
      </w:r>
      <w:r w:rsidR="00630D29" w:rsidRPr="00C540E2">
        <w:rPr>
          <w:rFonts w:ascii="Times New Roman" w:eastAsia="Times New Roman" w:hAnsi="Times New Roman" w:cs="Times New Roman"/>
          <w:sz w:val="24"/>
          <w:szCs w:val="24"/>
          <w:lang w:val="en-GB" w:eastAsia="lt-LT"/>
        </w:rPr>
        <w:t xml:space="preserve"> </w:t>
      </w:r>
      <w:r w:rsidRPr="00C540E2">
        <w:rPr>
          <w:rFonts w:ascii="Times New Roman" w:eastAsia="Times New Roman" w:hAnsi="Times New Roman" w:cs="Times New Roman"/>
          <w:sz w:val="24"/>
          <w:szCs w:val="24"/>
          <w:lang w:val="en-GB" w:eastAsia="lt-LT"/>
        </w:rPr>
        <w:t>shall</w:t>
      </w:r>
      <w:r w:rsidR="00630D29" w:rsidRPr="00C540E2">
        <w:rPr>
          <w:rFonts w:ascii="Times New Roman" w:eastAsia="Times New Roman" w:hAnsi="Times New Roman" w:cs="Times New Roman"/>
          <w:sz w:val="24"/>
          <w:szCs w:val="24"/>
          <w:lang w:val="en-GB" w:eastAsia="lt-LT"/>
        </w:rPr>
        <w:t xml:space="preserve"> be based on </w:t>
      </w:r>
      <w:r w:rsidRPr="00C540E2">
        <w:rPr>
          <w:rFonts w:ascii="Times New Roman" w:eastAsia="Times New Roman" w:hAnsi="Times New Roman" w:cs="Times New Roman"/>
          <w:sz w:val="24"/>
          <w:szCs w:val="24"/>
          <w:lang w:val="en-GB" w:eastAsia="lt-LT"/>
        </w:rPr>
        <w:t xml:space="preserve">the conducted </w:t>
      </w:r>
      <w:r w:rsidR="00630D29" w:rsidRPr="00C540E2">
        <w:rPr>
          <w:rFonts w:ascii="Times New Roman" w:eastAsia="Times New Roman" w:hAnsi="Times New Roman" w:cs="Times New Roman"/>
          <w:sz w:val="24"/>
          <w:szCs w:val="24"/>
          <w:lang w:val="en-GB" w:eastAsia="lt-LT"/>
        </w:rPr>
        <w:t xml:space="preserve">market </w:t>
      </w:r>
      <w:r w:rsidRPr="00C540E2">
        <w:rPr>
          <w:rFonts w:ascii="Times New Roman" w:eastAsia="Times New Roman" w:hAnsi="Times New Roman" w:cs="Times New Roman"/>
          <w:sz w:val="24"/>
          <w:szCs w:val="24"/>
          <w:lang w:val="en-GB" w:eastAsia="lt-LT"/>
        </w:rPr>
        <w:lastRenderedPageBreak/>
        <w:t>research</w:t>
      </w:r>
      <w:r w:rsidR="00630D29" w:rsidRPr="00C540E2">
        <w:rPr>
          <w:rFonts w:ascii="Times New Roman" w:eastAsia="Times New Roman" w:hAnsi="Times New Roman" w:cs="Times New Roman"/>
          <w:sz w:val="24"/>
          <w:szCs w:val="24"/>
          <w:lang w:val="en-GB" w:eastAsia="lt-LT"/>
        </w:rPr>
        <w:t xml:space="preserve">. The recommended </w:t>
      </w:r>
      <w:r w:rsidRPr="00C540E2">
        <w:rPr>
          <w:rFonts w:ascii="Times New Roman" w:eastAsia="Times New Roman" w:hAnsi="Times New Roman" w:cs="Times New Roman"/>
          <w:sz w:val="24"/>
          <w:szCs w:val="24"/>
          <w:lang w:val="en-GB" w:eastAsia="lt-LT"/>
        </w:rPr>
        <w:t>market research</w:t>
      </w:r>
      <w:r w:rsidR="00630D29" w:rsidRPr="00C540E2">
        <w:rPr>
          <w:rFonts w:ascii="Times New Roman" w:eastAsia="Times New Roman" w:hAnsi="Times New Roman" w:cs="Times New Roman"/>
          <w:sz w:val="24"/>
          <w:szCs w:val="24"/>
          <w:lang w:val="en-GB" w:eastAsia="lt-LT"/>
        </w:rPr>
        <w:t xml:space="preserve"> summary </w:t>
      </w:r>
      <w:r w:rsidRPr="00C540E2">
        <w:rPr>
          <w:rFonts w:ascii="Times New Roman" w:eastAsia="Times New Roman" w:hAnsi="Times New Roman" w:cs="Times New Roman"/>
          <w:sz w:val="24"/>
          <w:szCs w:val="24"/>
          <w:lang w:val="en-GB" w:eastAsia="lt-LT"/>
        </w:rPr>
        <w:t xml:space="preserve">form </w:t>
      </w:r>
      <w:r w:rsidR="00630D29" w:rsidRPr="00C540E2">
        <w:rPr>
          <w:rFonts w:ascii="Times New Roman" w:eastAsia="Times New Roman" w:hAnsi="Times New Roman" w:cs="Times New Roman"/>
          <w:sz w:val="24"/>
          <w:szCs w:val="24"/>
          <w:lang w:val="en-GB" w:eastAsia="lt-LT"/>
        </w:rPr>
        <w:t>and explanations for its completion are provided in Annex 8 to the Guidelines.</w:t>
      </w:r>
    </w:p>
    <w:p w14:paraId="7EF42302" w14:textId="31996BD0" w:rsidR="00063A27" w:rsidRPr="00C540E2" w:rsidRDefault="00431370"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The following are the</w:t>
      </w:r>
      <w:r w:rsidR="00630D29" w:rsidRPr="00C540E2">
        <w:rPr>
          <w:rFonts w:ascii="Times New Roman" w:eastAsia="Times New Roman" w:hAnsi="Times New Roman" w:cs="Times New Roman"/>
          <w:sz w:val="24"/>
          <w:szCs w:val="24"/>
          <w:lang w:val="en-GB" w:eastAsia="lt-LT"/>
        </w:rPr>
        <w:t xml:space="preserve"> categories of eligible or ineligible costs under this Call</w:t>
      </w:r>
      <w:r w:rsidR="00063A27" w:rsidRPr="00C540E2">
        <w:rPr>
          <w:rFonts w:ascii="Times New Roman" w:eastAsia="Times New Roman" w:hAnsi="Times New Roman" w:cs="Times New Roman"/>
          <w:sz w:val="24"/>
          <w:szCs w:val="24"/>
          <w:lang w:val="en-GB" w:eastAsia="lt-LT"/>
        </w:rPr>
        <w:t>:</w:t>
      </w:r>
      <w:bookmarkStart w:id="13" w:name="part_8bfd4ba4024f4ac1b6965ef853c6d2bf"/>
      <w:bookmarkEnd w:id="13"/>
    </w:p>
    <w:p w14:paraId="793BD8B8" w14:textId="19D6F611" w:rsidR="00C540E2" w:rsidRDefault="00C540E2"/>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07"/>
        <w:gridCol w:w="7346"/>
      </w:tblGrid>
      <w:tr w:rsidR="00B60AC6" w:rsidRPr="00C540E2" w14:paraId="43D5420D" w14:textId="77777777" w:rsidTr="00C540E2">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00AE5" w14:textId="7FBC6356" w:rsidR="00063A27" w:rsidRPr="00C540E2" w:rsidRDefault="00431370" w:rsidP="00C540E2">
            <w:pPr>
              <w:shd w:val="clear" w:color="auto" w:fill="FFFFFF"/>
              <w:spacing w:after="120" w:line="240" w:lineRule="auto"/>
              <w:ind w:right="-57"/>
              <w:jc w:val="both"/>
              <w:rPr>
                <w:rFonts w:ascii="Times New Roman" w:eastAsia="Times New Roman" w:hAnsi="Times New Roman" w:cs="Times New Roman"/>
                <w:b/>
                <w:bCs/>
                <w:sz w:val="24"/>
                <w:szCs w:val="24"/>
                <w:lang w:val="en-GB" w:eastAsia="lt-LT"/>
              </w:rPr>
            </w:pPr>
            <w:r w:rsidRPr="00C540E2">
              <w:rPr>
                <w:rFonts w:ascii="Times New Roman" w:eastAsia="Times New Roman" w:hAnsi="Times New Roman" w:cs="Times New Roman"/>
                <w:b/>
                <w:bCs/>
                <w:sz w:val="24"/>
                <w:szCs w:val="24"/>
                <w:lang w:val="en-GB" w:eastAsia="lt-LT"/>
              </w:rPr>
              <w:t>Cost category No</w:t>
            </w:r>
            <w:r w:rsidR="00063A27" w:rsidRPr="00C540E2">
              <w:rPr>
                <w:rFonts w:ascii="Times New Roman" w:eastAsia="Times New Roman" w:hAnsi="Times New Roman" w:cs="Times New Roman"/>
                <w:b/>
                <w:bCs/>
                <w:sz w:val="24"/>
                <w:szCs w:val="24"/>
                <w:lang w:val="en-GB" w:eastAsia="lt-LT"/>
              </w:rPr>
              <w:t>.</w:t>
            </w:r>
          </w:p>
        </w:tc>
        <w:tc>
          <w:tcPr>
            <w:tcW w:w="1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EE71A" w14:textId="1141827F" w:rsidR="00063A27" w:rsidRPr="00C540E2" w:rsidRDefault="00431370" w:rsidP="00C540E2">
            <w:pPr>
              <w:shd w:val="clear" w:color="auto" w:fill="FFFFFF"/>
              <w:spacing w:after="120" w:line="240" w:lineRule="auto"/>
              <w:ind w:right="-57"/>
              <w:jc w:val="center"/>
              <w:rPr>
                <w:rFonts w:ascii="Times New Roman" w:eastAsia="Times New Roman" w:hAnsi="Times New Roman" w:cs="Times New Roman"/>
                <w:b/>
                <w:bCs/>
                <w:sz w:val="24"/>
                <w:szCs w:val="24"/>
                <w:lang w:val="en-GB" w:eastAsia="lt-LT"/>
              </w:rPr>
            </w:pPr>
            <w:r w:rsidRPr="00C540E2">
              <w:rPr>
                <w:rFonts w:ascii="Times New Roman" w:eastAsia="Times New Roman" w:hAnsi="Times New Roman" w:cs="Times New Roman"/>
                <w:b/>
                <w:bCs/>
                <w:sz w:val="24"/>
                <w:szCs w:val="24"/>
                <w:lang w:val="en-GB" w:eastAsia="lt-LT"/>
              </w:rPr>
              <w:t>Cost category name</w:t>
            </w:r>
          </w:p>
        </w:tc>
        <w:tc>
          <w:tcPr>
            <w:tcW w:w="73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4D0A7" w14:textId="3BA37663" w:rsidR="00063A27" w:rsidRPr="00C540E2" w:rsidRDefault="00431370"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C540E2">
              <w:rPr>
                <w:rFonts w:ascii="Times New Roman" w:eastAsia="Times New Roman" w:hAnsi="Times New Roman" w:cs="Times New Roman"/>
                <w:b/>
                <w:bCs/>
                <w:sz w:val="24"/>
                <w:szCs w:val="24"/>
                <w:lang w:val="en-GB" w:eastAsia="lt-LT"/>
              </w:rPr>
              <w:t>Requirements and explanations</w:t>
            </w:r>
          </w:p>
        </w:tc>
      </w:tr>
      <w:tr w:rsidR="008D2C56" w:rsidRPr="00C540E2" w14:paraId="0626FDEE" w14:textId="77777777" w:rsidTr="00002B9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D4A44" w14:textId="639EDAB9" w:rsidR="008D2C56" w:rsidRPr="00C540E2" w:rsidRDefault="008D2C56"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C540E2">
              <w:rPr>
                <w:rFonts w:ascii="Times New Roman" w:eastAsia="Times New Roman" w:hAnsi="Times New Roman" w:cs="Times New Roman"/>
                <w:b/>
                <w:bCs/>
                <w:sz w:val="24"/>
                <w:szCs w:val="24"/>
                <w:lang w:val="en-GB" w:eastAsia="lt-LT"/>
              </w:rPr>
              <w:t>Direct costs</w:t>
            </w:r>
          </w:p>
        </w:tc>
      </w:tr>
      <w:tr w:rsidR="00B60AC6" w:rsidRPr="00C540E2" w14:paraId="558FDE0D"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3CD14"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1.</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F68BC" w14:textId="2484B40A" w:rsidR="00063A27" w:rsidRPr="00C540E2" w:rsidRDefault="00B60AC6"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Land and real estate</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C06D" w14:textId="75F7C926" w:rsidR="00063A27" w:rsidRPr="00C540E2" w:rsidRDefault="00B60AC6"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Ineligible</w:t>
            </w:r>
            <w:r w:rsidR="00063A27" w:rsidRPr="00C540E2">
              <w:rPr>
                <w:rFonts w:ascii="Times New Roman" w:eastAsia="Times New Roman" w:hAnsi="Times New Roman" w:cs="Times New Roman"/>
                <w:sz w:val="24"/>
                <w:szCs w:val="24"/>
                <w:lang w:val="en-GB" w:eastAsia="lt-LT"/>
              </w:rPr>
              <w:t>.</w:t>
            </w:r>
          </w:p>
        </w:tc>
      </w:tr>
      <w:tr w:rsidR="00B60AC6" w:rsidRPr="00C540E2" w14:paraId="6E7176D2"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68B5E"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2.</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D452E" w14:textId="61F9FB61" w:rsidR="00063A27" w:rsidRPr="00C540E2" w:rsidRDefault="00B60AC6" w:rsidP="00C540E2">
            <w:pPr>
              <w:shd w:val="clear" w:color="auto" w:fill="FFFFFF"/>
              <w:spacing w:after="120" w:line="240" w:lineRule="auto"/>
              <w:ind w:left="34" w:right="-57"/>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Contractor works (construction, reconstruction, repair and other works)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E0638" w14:textId="21A9C309" w:rsidR="00063A27" w:rsidRPr="00C540E2" w:rsidRDefault="006C22D8" w:rsidP="00C540E2">
            <w:pPr>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Costs relating to simple repairs (without reconstruction or major overhaul) of the premises intended for </w:t>
            </w:r>
            <w:r w:rsidR="00EE0AC3" w:rsidRPr="00C540E2">
              <w:rPr>
                <w:rFonts w:ascii="Times New Roman" w:eastAsia="Times New Roman" w:hAnsi="Times New Roman" w:cs="Times New Roman"/>
                <w:sz w:val="24"/>
                <w:szCs w:val="24"/>
                <w:lang w:val="en-GB" w:eastAsia="lt-LT"/>
              </w:rPr>
              <w:t xml:space="preserve">YFHCSs Coordination Centre </w:t>
            </w:r>
            <w:r w:rsidRPr="00C540E2">
              <w:rPr>
                <w:rFonts w:ascii="Times New Roman" w:eastAsia="Times New Roman" w:hAnsi="Times New Roman" w:cs="Times New Roman"/>
                <w:sz w:val="24"/>
                <w:szCs w:val="24"/>
                <w:lang w:val="en-GB" w:eastAsia="lt-LT"/>
              </w:rPr>
              <w:t xml:space="preserve">required for the </w:t>
            </w:r>
            <w:r w:rsidR="00EE0AC3" w:rsidRPr="00C540E2">
              <w:rPr>
                <w:rFonts w:ascii="Times New Roman" w:eastAsia="Times New Roman" w:hAnsi="Times New Roman" w:cs="Times New Roman"/>
                <w:sz w:val="24"/>
                <w:szCs w:val="24"/>
                <w:lang w:val="en-GB" w:eastAsia="lt-LT"/>
              </w:rPr>
              <w:t>development of the Model</w:t>
            </w:r>
            <w:r w:rsidRPr="00C540E2">
              <w:rPr>
                <w:rFonts w:ascii="Times New Roman" w:eastAsia="Times New Roman" w:hAnsi="Times New Roman" w:cs="Times New Roman"/>
                <w:sz w:val="24"/>
                <w:szCs w:val="24"/>
                <w:lang w:val="en-GB" w:eastAsia="lt-LT"/>
              </w:rPr>
              <w:t xml:space="preserve"> may be financed.</w:t>
            </w:r>
            <w:r w:rsidRPr="00C540E2">
              <w:rPr>
                <w:rFonts w:ascii="Times New Roman" w:hAnsi="Times New Roman" w:cs="Times New Roman"/>
                <w:sz w:val="24"/>
                <w:szCs w:val="24"/>
              </w:rPr>
              <w:t xml:space="preserve"> </w:t>
            </w:r>
            <w:r w:rsidRPr="00C540E2">
              <w:rPr>
                <w:rFonts w:ascii="Times New Roman" w:eastAsia="Times New Roman" w:hAnsi="Times New Roman" w:cs="Times New Roman"/>
                <w:sz w:val="24"/>
                <w:szCs w:val="24"/>
                <w:lang w:val="en-GB" w:eastAsia="lt-LT"/>
              </w:rPr>
              <w:t>Costs on simple repairs may not exceed 20%</w:t>
            </w:r>
            <w:r w:rsidR="00B50479">
              <w:rPr>
                <w:rFonts w:ascii="Times New Roman" w:eastAsia="Times New Roman" w:hAnsi="Times New Roman" w:cs="Times New Roman"/>
                <w:sz w:val="24"/>
                <w:szCs w:val="24"/>
                <w:lang w:val="en-GB" w:eastAsia="lt-LT"/>
              </w:rPr>
              <w:t xml:space="preserve"> of</w:t>
            </w:r>
            <w:r w:rsidRPr="00C540E2">
              <w:rPr>
                <w:rFonts w:ascii="Times New Roman" w:eastAsia="Times New Roman" w:hAnsi="Times New Roman" w:cs="Times New Roman"/>
                <w:sz w:val="24"/>
                <w:szCs w:val="24"/>
                <w:lang w:val="en-GB" w:eastAsia="lt-LT"/>
              </w:rPr>
              <w:t xml:space="preserve"> eligible project costs</w:t>
            </w:r>
          </w:p>
        </w:tc>
      </w:tr>
      <w:tr w:rsidR="00B60AC6" w:rsidRPr="00C540E2" w14:paraId="663CA5FC"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84663"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3.</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0ED41" w14:textId="23D338B3" w:rsidR="00063A27" w:rsidRPr="00C540E2" w:rsidRDefault="0039128B"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Fixed</w:t>
            </w:r>
            <w:r w:rsidR="00B60AC6" w:rsidRPr="00C540E2">
              <w:rPr>
                <w:rFonts w:ascii="Times New Roman" w:eastAsia="Times New Roman" w:hAnsi="Times New Roman" w:cs="Times New Roman"/>
                <w:sz w:val="24"/>
                <w:szCs w:val="24"/>
                <w:lang w:val="en-GB" w:eastAsia="lt-LT"/>
              </w:rPr>
              <w:t xml:space="preserve"> assets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CCA76" w14:textId="3376FF79" w:rsidR="00821057" w:rsidRPr="00C540E2" w:rsidRDefault="00B60AC6" w:rsidP="00C540E2">
            <w:pPr>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Costs of depreciation of new or used equipment or devices (hereinafter all together referred to as equipment)</w:t>
            </w:r>
            <w:r w:rsidR="00BE5F24"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necessary for the implementation of the project, achievement of project objectives and indicators, and project administration and publication, used in the project falling within the period of project implementation, provided that equipment is depreciated according to generally accepted accounting principles </w:t>
            </w:r>
            <w:r w:rsidR="00F107E7" w:rsidRPr="00C540E2">
              <w:rPr>
                <w:rFonts w:ascii="Times New Roman" w:eastAsia="Calibri" w:hAnsi="Times New Roman" w:cs="Times New Roman"/>
                <w:sz w:val="24"/>
                <w:szCs w:val="24"/>
                <w:lang w:val="en-GB"/>
              </w:rPr>
              <w:t>which the P</w:t>
            </w:r>
            <w:r w:rsidRPr="00C540E2">
              <w:rPr>
                <w:rFonts w:ascii="Times New Roman" w:eastAsia="Calibri" w:hAnsi="Times New Roman" w:cs="Times New Roman"/>
                <w:sz w:val="24"/>
                <w:szCs w:val="24"/>
                <w:lang w:val="en-GB"/>
              </w:rPr>
              <w:t xml:space="preserve">roject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 or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artner, or similar equipment in general</w:t>
            </w:r>
            <w:r w:rsidR="00F107E7" w:rsidRPr="00C540E2">
              <w:rPr>
                <w:rFonts w:ascii="Times New Roman" w:eastAsia="Calibri" w:hAnsi="Times New Roman" w:cs="Times New Roman"/>
                <w:sz w:val="24"/>
                <w:szCs w:val="24"/>
                <w:lang w:val="en-GB"/>
              </w:rPr>
              <w:t>, is subject to</w:t>
            </w:r>
            <w:r w:rsidR="00063A27" w:rsidRPr="00C540E2">
              <w:rPr>
                <w:rFonts w:ascii="Times New Roman" w:eastAsia="Calibri" w:hAnsi="Times New Roman" w:cs="Times New Roman"/>
                <w:sz w:val="24"/>
                <w:szCs w:val="24"/>
                <w:lang w:val="en-GB"/>
              </w:rPr>
              <w:t xml:space="preserve">. </w:t>
            </w:r>
          </w:p>
          <w:p w14:paraId="077ABD3C" w14:textId="46BA07D0" w:rsidR="00063A27" w:rsidRPr="00C540E2" w:rsidRDefault="00821057" w:rsidP="00C540E2">
            <w:pPr>
              <w:spacing w:after="120" w:line="240" w:lineRule="auto"/>
              <w:jc w:val="both"/>
              <w:rPr>
                <w:rFonts w:ascii="Times New Roman" w:eastAsia="Calibri" w:hAnsi="Times New Roman" w:cs="Times New Roman"/>
                <w:sz w:val="24"/>
                <w:szCs w:val="24"/>
              </w:rPr>
            </w:pPr>
            <w:r w:rsidRPr="00C540E2">
              <w:rPr>
                <w:rFonts w:ascii="Times New Roman" w:eastAsia="Calibri" w:hAnsi="Times New Roman" w:cs="Times New Roman"/>
                <w:sz w:val="24"/>
                <w:szCs w:val="24"/>
                <w:lang w:val="en-GB"/>
              </w:rPr>
              <w:t xml:space="preserve">If the equipment is an integral and necessary </w:t>
            </w:r>
            <w:r w:rsidR="00F37A93" w:rsidRPr="00C540E2">
              <w:rPr>
                <w:rFonts w:ascii="Times New Roman" w:eastAsia="Calibri" w:hAnsi="Times New Roman" w:cs="Times New Roman"/>
                <w:sz w:val="24"/>
                <w:szCs w:val="24"/>
                <w:lang w:val="en-GB"/>
              </w:rPr>
              <w:t>component for achieving the outcomes of the project</w:t>
            </w:r>
            <w:r w:rsidRPr="00C540E2">
              <w:rPr>
                <w:rFonts w:ascii="Times New Roman" w:eastAsia="Calibri" w:hAnsi="Times New Roman" w:cs="Times New Roman"/>
                <w:sz w:val="24"/>
                <w:szCs w:val="24"/>
                <w:lang w:val="en-GB"/>
              </w:rPr>
              <w:t xml:space="preserve">, the </w:t>
            </w:r>
            <w:r w:rsidR="00F37A93" w:rsidRPr="00C540E2">
              <w:rPr>
                <w:rFonts w:ascii="Times New Roman" w:eastAsia="Calibri" w:hAnsi="Times New Roman" w:cs="Times New Roman"/>
                <w:sz w:val="24"/>
                <w:szCs w:val="24"/>
                <w:lang w:val="en-GB"/>
              </w:rPr>
              <w:t>entire purchase price</w:t>
            </w:r>
            <w:r w:rsidRPr="00C540E2">
              <w:rPr>
                <w:rFonts w:ascii="Times New Roman" w:eastAsia="Calibri" w:hAnsi="Times New Roman" w:cs="Times New Roman"/>
                <w:sz w:val="24"/>
                <w:szCs w:val="24"/>
                <w:lang w:val="en-GB"/>
              </w:rPr>
              <w:t xml:space="preserve"> of </w:t>
            </w:r>
            <w:r w:rsidR="00F37A93" w:rsidRPr="00C540E2">
              <w:rPr>
                <w:rFonts w:ascii="Times New Roman" w:eastAsia="Calibri" w:hAnsi="Times New Roman" w:cs="Times New Roman"/>
                <w:sz w:val="24"/>
                <w:szCs w:val="24"/>
                <w:lang w:val="en-GB"/>
              </w:rPr>
              <w:t>that</w:t>
            </w:r>
            <w:r w:rsidRPr="00C540E2">
              <w:rPr>
                <w:rFonts w:ascii="Times New Roman" w:eastAsia="Calibri" w:hAnsi="Times New Roman" w:cs="Times New Roman"/>
                <w:sz w:val="24"/>
                <w:szCs w:val="24"/>
                <w:lang w:val="en-GB"/>
              </w:rPr>
              <w:t xml:space="preserve"> equipment may be recognized as eligible costs (this shall not apply to project administration and </w:t>
            </w:r>
            <w:r w:rsidR="00F107E7" w:rsidRPr="00C540E2">
              <w:rPr>
                <w:rFonts w:ascii="Times New Roman" w:eastAsia="Calibri" w:hAnsi="Times New Roman" w:cs="Times New Roman"/>
                <w:sz w:val="24"/>
                <w:szCs w:val="24"/>
                <w:lang w:val="en-GB"/>
              </w:rPr>
              <w:t>publicity</w:t>
            </w:r>
            <w:r w:rsidRPr="00C540E2">
              <w:rPr>
                <w:rFonts w:ascii="Times New Roman" w:eastAsia="Calibri" w:hAnsi="Times New Roman" w:cs="Times New Roman"/>
                <w:sz w:val="24"/>
                <w:szCs w:val="24"/>
                <w:lang w:val="en-GB"/>
              </w:rPr>
              <w:t>)</w:t>
            </w:r>
            <w:r w:rsidR="008F6928" w:rsidRPr="00C540E2">
              <w:rPr>
                <w:rFonts w:ascii="Times New Roman" w:eastAsia="Calibri" w:hAnsi="Times New Roman" w:cs="Times New Roman"/>
                <w:sz w:val="24"/>
                <w:szCs w:val="24"/>
                <w:lang w:val="en-GB"/>
              </w:rPr>
              <w:t>. I</w:t>
            </w:r>
            <w:r w:rsidRPr="00C540E2">
              <w:rPr>
                <w:rFonts w:ascii="Times New Roman" w:eastAsia="Calibri" w:hAnsi="Times New Roman" w:cs="Times New Roman"/>
                <w:sz w:val="24"/>
                <w:szCs w:val="24"/>
                <w:lang w:val="en-GB"/>
              </w:rPr>
              <w:t xml:space="preserve">n such a case, ensuring that the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 </w:t>
            </w:r>
            <w:r w:rsidR="00F37A93" w:rsidRPr="00C540E2">
              <w:rPr>
                <w:rFonts w:ascii="Times New Roman" w:eastAsia="Calibri" w:hAnsi="Times New Roman" w:cs="Times New Roman"/>
                <w:sz w:val="24"/>
                <w:szCs w:val="24"/>
                <w:lang w:val="en-GB"/>
              </w:rPr>
              <w:t xml:space="preserve">keeps </w:t>
            </w:r>
            <w:r w:rsidRPr="00C540E2">
              <w:rPr>
                <w:rFonts w:ascii="Times New Roman" w:eastAsia="Calibri" w:hAnsi="Times New Roman" w:cs="Times New Roman"/>
                <w:sz w:val="24"/>
                <w:szCs w:val="24"/>
                <w:lang w:val="en-GB"/>
              </w:rPr>
              <w:t xml:space="preserve">the equipment </w:t>
            </w:r>
            <w:r w:rsidR="00F37A93" w:rsidRPr="00C540E2">
              <w:rPr>
                <w:rFonts w:ascii="Times New Roman" w:eastAsia="Calibri" w:hAnsi="Times New Roman" w:cs="Times New Roman"/>
                <w:sz w:val="24"/>
                <w:szCs w:val="24"/>
                <w:lang w:val="en-GB"/>
              </w:rPr>
              <w:t>in its ownership for a period of at least five years following the completion of the project and continues to use that equipment for the benefit of the overall objectives of the project for the same period</w:t>
            </w:r>
            <w:r w:rsidRPr="00C540E2">
              <w:rPr>
                <w:rFonts w:ascii="Times New Roman" w:eastAsia="Calibri" w:hAnsi="Times New Roman" w:cs="Times New Roman"/>
                <w:sz w:val="24"/>
                <w:szCs w:val="24"/>
                <w:lang w:val="en-GB"/>
              </w:rPr>
              <w:t xml:space="preserve">, </w:t>
            </w:r>
            <w:r w:rsidR="0086559B" w:rsidRPr="00C540E2">
              <w:rPr>
                <w:rFonts w:ascii="Times New Roman" w:eastAsia="Calibri" w:hAnsi="Times New Roman" w:cs="Times New Roman"/>
                <w:sz w:val="24"/>
                <w:szCs w:val="24"/>
                <w:lang w:val="en-GB"/>
              </w:rPr>
              <w:t xml:space="preserve">keeps the equipment properly insured against losses such as fire, theft or other normally insurable incidents both during project implementation and for at least five years following the completion of the project, </w:t>
            </w:r>
            <w:r w:rsidRPr="00C540E2">
              <w:rPr>
                <w:rFonts w:ascii="Times New Roman" w:eastAsia="Calibri" w:hAnsi="Times New Roman" w:cs="Times New Roman"/>
                <w:sz w:val="24"/>
                <w:szCs w:val="24"/>
                <w:lang w:val="en-GB"/>
              </w:rPr>
              <w:t>ensures proper equipment maintenance at least 5 years after the end of the project</w:t>
            </w:r>
            <w:r w:rsidR="00F107E7"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shall be necessary, unless the project </w:t>
            </w:r>
            <w:r w:rsidR="0081545D" w:rsidRPr="00C540E2">
              <w:rPr>
                <w:rFonts w:ascii="Times New Roman" w:eastAsia="Calibri" w:hAnsi="Times New Roman" w:cs="Times New Roman"/>
                <w:sz w:val="24"/>
                <w:szCs w:val="24"/>
                <w:lang w:val="en-GB"/>
              </w:rPr>
              <w:t>contract</w:t>
            </w:r>
            <w:r w:rsidRPr="00C540E2">
              <w:rPr>
                <w:rFonts w:ascii="Times New Roman" w:eastAsia="Calibri" w:hAnsi="Times New Roman" w:cs="Times New Roman"/>
                <w:sz w:val="24"/>
                <w:szCs w:val="24"/>
                <w:lang w:val="en-GB"/>
              </w:rPr>
              <w:t xml:space="preserve"> establishes otherwise</w:t>
            </w:r>
            <w:r w:rsidR="008D2C56" w:rsidRPr="00C540E2">
              <w:rPr>
                <w:rFonts w:ascii="Times New Roman" w:eastAsia="Calibri" w:hAnsi="Times New Roman" w:cs="Times New Roman"/>
                <w:sz w:val="24"/>
                <w:szCs w:val="24"/>
                <w:lang w:val="en-GB"/>
              </w:rPr>
              <w:t xml:space="preserve"> (insurance costs during the lifetime of the project may be eligible project funding)</w:t>
            </w:r>
            <w:r w:rsidRPr="00C540E2">
              <w:rPr>
                <w:rFonts w:ascii="Times New Roman" w:eastAsia="Calibri" w:hAnsi="Times New Roman" w:cs="Times New Roman"/>
                <w:sz w:val="24"/>
                <w:szCs w:val="24"/>
                <w:lang w:val="en-GB"/>
              </w:rPr>
              <w:t xml:space="preserve">. Where a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artner purchases equipment, the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F107E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 shall ensure that the </w:t>
            </w:r>
            <w:r w:rsidR="00B63D26"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artner abides by the above provisions</w:t>
            </w:r>
            <w:r w:rsidR="00063A27" w:rsidRPr="00C540E2">
              <w:rPr>
                <w:rFonts w:ascii="Times New Roman" w:eastAsia="Calibri" w:hAnsi="Times New Roman" w:cs="Times New Roman"/>
                <w:sz w:val="24"/>
                <w:szCs w:val="24"/>
                <w:lang w:val="en-GB"/>
              </w:rPr>
              <w:t xml:space="preserve">. </w:t>
            </w:r>
          </w:p>
          <w:p w14:paraId="263D2D4A" w14:textId="5E862A07" w:rsidR="00DA75AF" w:rsidRPr="00C540E2" w:rsidRDefault="00DA75AF" w:rsidP="00C540E2">
            <w:pPr>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Movable tangible property used directly in carrying out project activities</w:t>
            </w:r>
            <w:r w:rsidR="00921D89"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the cost of acquisition of which is EUR 1 000 and more (irrespective of the value which the </w:t>
            </w:r>
            <w:r w:rsidR="00921D89"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921D89"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 or </w:t>
            </w:r>
            <w:r w:rsidR="00921D89" w:rsidRPr="00C540E2">
              <w:rPr>
                <w:rFonts w:ascii="Times New Roman" w:eastAsia="Calibri" w:hAnsi="Times New Roman" w:cs="Times New Roman"/>
                <w:sz w:val="24"/>
                <w:szCs w:val="24"/>
                <w:lang w:val="en-GB"/>
              </w:rPr>
              <w:t>the P</w:t>
            </w:r>
            <w:r w:rsidRPr="00C540E2">
              <w:rPr>
                <w:rFonts w:ascii="Times New Roman" w:eastAsia="Calibri" w:hAnsi="Times New Roman" w:cs="Times New Roman"/>
                <w:sz w:val="24"/>
                <w:szCs w:val="24"/>
                <w:lang w:val="en-GB"/>
              </w:rPr>
              <w:t xml:space="preserve">artner considers the minimum value for categorizing the acquired assets as </w:t>
            </w:r>
            <w:r w:rsidR="002957C6" w:rsidRPr="00C540E2">
              <w:rPr>
                <w:rFonts w:ascii="Times New Roman" w:eastAsia="Calibri" w:hAnsi="Times New Roman" w:cs="Times New Roman"/>
                <w:sz w:val="24"/>
                <w:szCs w:val="24"/>
                <w:lang w:val="en-GB"/>
              </w:rPr>
              <w:t>fixed</w:t>
            </w:r>
            <w:r w:rsidRPr="00C540E2">
              <w:rPr>
                <w:rFonts w:ascii="Times New Roman" w:eastAsia="Calibri" w:hAnsi="Times New Roman" w:cs="Times New Roman"/>
                <w:sz w:val="24"/>
                <w:szCs w:val="24"/>
                <w:lang w:val="en-GB"/>
              </w:rPr>
              <w:t xml:space="preserve"> assets according to their accounting policy), such as movable or stationary objects, tools, machinery, mechanisms or instruments required to </w:t>
            </w:r>
            <w:r w:rsidR="0086559B" w:rsidRPr="00C540E2">
              <w:rPr>
                <w:rFonts w:ascii="Times New Roman" w:eastAsia="Calibri" w:hAnsi="Times New Roman" w:cs="Times New Roman"/>
                <w:sz w:val="24"/>
                <w:szCs w:val="24"/>
                <w:lang w:val="en-GB"/>
              </w:rPr>
              <w:t xml:space="preserve">create an art </w:t>
            </w:r>
            <w:r w:rsidRPr="00C540E2">
              <w:rPr>
                <w:rFonts w:ascii="Times New Roman" w:eastAsia="Calibri" w:hAnsi="Times New Roman" w:cs="Times New Roman"/>
                <w:sz w:val="24"/>
                <w:szCs w:val="24"/>
                <w:lang w:val="en-GB"/>
              </w:rPr>
              <w:t xml:space="preserve">work, </w:t>
            </w:r>
            <w:r w:rsidRPr="00C540E2">
              <w:rPr>
                <w:rFonts w:ascii="Times New Roman" w:eastAsia="Calibri" w:hAnsi="Times New Roman" w:cs="Times New Roman"/>
                <w:sz w:val="24"/>
                <w:szCs w:val="24"/>
                <w:lang w:val="en-GB"/>
              </w:rPr>
              <w:lastRenderedPageBreak/>
              <w:t>when the following conditions are met</w:t>
            </w:r>
            <w:r w:rsidR="00921D89"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shall be considered equipment: </w:t>
            </w:r>
            <w:r w:rsidR="00E755C8" w:rsidRPr="00C540E2">
              <w:rPr>
                <w:rFonts w:ascii="Times New Roman" w:eastAsia="Calibri" w:hAnsi="Times New Roman" w:cs="Times New Roman"/>
                <w:sz w:val="24"/>
                <w:szCs w:val="24"/>
                <w:lang w:val="en-GB"/>
              </w:rPr>
              <w:t>the useful life of assets is more than one year when used for their intended purpose</w:t>
            </w:r>
            <w:r w:rsidR="00921D89" w:rsidRPr="00C540E2">
              <w:rPr>
                <w:rFonts w:ascii="Times New Roman" w:eastAsia="Calibri" w:hAnsi="Times New Roman" w:cs="Times New Roman"/>
                <w:sz w:val="24"/>
                <w:szCs w:val="24"/>
                <w:lang w:val="en-GB"/>
              </w:rPr>
              <w:t>,</w:t>
            </w:r>
            <w:r w:rsidR="00E755C8" w:rsidRPr="00C540E2">
              <w:rPr>
                <w:rFonts w:ascii="Times New Roman" w:eastAsia="Calibri" w:hAnsi="Times New Roman" w:cs="Times New Roman"/>
                <w:sz w:val="24"/>
                <w:szCs w:val="24"/>
                <w:lang w:val="en-GB"/>
              </w:rPr>
              <w:t xml:space="preserve"> and</w:t>
            </w:r>
            <w:r w:rsidR="00921D89" w:rsidRPr="00C540E2">
              <w:rPr>
                <w:rFonts w:ascii="Times New Roman" w:eastAsia="Calibri" w:hAnsi="Times New Roman" w:cs="Times New Roman"/>
                <w:sz w:val="24"/>
                <w:szCs w:val="24"/>
                <w:lang w:val="en-GB"/>
              </w:rPr>
              <w:t xml:space="preserve"> the assets used</w:t>
            </w:r>
            <w:r w:rsidR="00E755C8" w:rsidRPr="00C540E2">
              <w:rPr>
                <w:rFonts w:ascii="Times New Roman" w:eastAsia="Calibri" w:hAnsi="Times New Roman" w:cs="Times New Roman"/>
                <w:sz w:val="24"/>
                <w:szCs w:val="24"/>
                <w:lang w:val="en-GB"/>
              </w:rPr>
              <w:t xml:space="preserve"> retain their original form and appearance; when in case </w:t>
            </w:r>
            <w:r w:rsidRPr="00C540E2">
              <w:rPr>
                <w:rFonts w:ascii="Times New Roman" w:eastAsia="Calibri" w:hAnsi="Times New Roman" w:cs="Times New Roman"/>
                <w:sz w:val="24"/>
                <w:szCs w:val="24"/>
                <w:lang w:val="en-GB"/>
              </w:rPr>
              <w:t>of damage</w:t>
            </w:r>
            <w:r w:rsidR="00E755C8" w:rsidRPr="00C540E2">
              <w:rPr>
                <w:rFonts w:ascii="Times New Roman" w:eastAsia="Calibri" w:hAnsi="Times New Roman" w:cs="Times New Roman"/>
                <w:sz w:val="24"/>
                <w:szCs w:val="24"/>
                <w:lang w:val="en-GB"/>
              </w:rPr>
              <w:t xml:space="preserve"> of assets</w:t>
            </w:r>
            <w:r w:rsidRPr="00C540E2">
              <w:rPr>
                <w:rFonts w:ascii="Times New Roman" w:eastAsia="Calibri" w:hAnsi="Times New Roman" w:cs="Times New Roman"/>
                <w:sz w:val="24"/>
                <w:szCs w:val="24"/>
                <w:lang w:val="en-GB"/>
              </w:rPr>
              <w:t xml:space="preserve">, </w:t>
            </w:r>
            <w:r w:rsidR="00E755C8" w:rsidRPr="00C540E2">
              <w:rPr>
                <w:rFonts w:ascii="Times New Roman" w:eastAsia="Calibri" w:hAnsi="Times New Roman" w:cs="Times New Roman"/>
                <w:sz w:val="24"/>
                <w:szCs w:val="24"/>
                <w:lang w:val="en-GB"/>
              </w:rPr>
              <w:t xml:space="preserve">a </w:t>
            </w:r>
            <w:r w:rsidRPr="00C540E2">
              <w:rPr>
                <w:rFonts w:ascii="Times New Roman" w:eastAsia="Calibri" w:hAnsi="Times New Roman" w:cs="Times New Roman"/>
                <w:sz w:val="24"/>
                <w:szCs w:val="24"/>
                <w:lang w:val="en-GB"/>
              </w:rPr>
              <w:t xml:space="preserve">loss or </w:t>
            </w:r>
            <w:r w:rsidR="00E755C8" w:rsidRPr="00C540E2">
              <w:rPr>
                <w:rFonts w:ascii="Times New Roman" w:eastAsia="Calibri" w:hAnsi="Times New Roman" w:cs="Times New Roman"/>
                <w:sz w:val="24"/>
                <w:szCs w:val="24"/>
                <w:lang w:val="en-GB"/>
              </w:rPr>
              <w:t>depreciation of parts thereof fixing</w:t>
            </w:r>
            <w:r w:rsidR="00921D89" w:rsidRPr="00C540E2">
              <w:rPr>
                <w:rFonts w:ascii="Times New Roman" w:eastAsia="Calibri" w:hAnsi="Times New Roman" w:cs="Times New Roman"/>
                <w:sz w:val="24"/>
                <w:szCs w:val="24"/>
                <w:lang w:val="en-GB"/>
              </w:rPr>
              <w:t xml:space="preserve"> the</w:t>
            </w:r>
            <w:r w:rsidR="00E755C8" w:rsidRPr="00C540E2">
              <w:rPr>
                <w:rFonts w:ascii="Times New Roman" w:eastAsia="Calibri" w:hAnsi="Times New Roman" w:cs="Times New Roman"/>
                <w:sz w:val="24"/>
                <w:szCs w:val="24"/>
                <w:lang w:val="en-GB"/>
              </w:rPr>
              <w:t xml:space="preserve"> assets </w:t>
            </w:r>
            <w:r w:rsidRPr="00C540E2">
              <w:rPr>
                <w:rFonts w:ascii="Times New Roman" w:eastAsia="Calibri" w:hAnsi="Times New Roman" w:cs="Times New Roman"/>
                <w:sz w:val="24"/>
                <w:szCs w:val="24"/>
                <w:lang w:val="en-GB"/>
              </w:rPr>
              <w:t>than replac</w:t>
            </w:r>
            <w:r w:rsidR="00E755C8" w:rsidRPr="00C540E2">
              <w:rPr>
                <w:rFonts w:ascii="Times New Roman" w:eastAsia="Calibri" w:hAnsi="Times New Roman" w:cs="Times New Roman"/>
                <w:sz w:val="24"/>
                <w:szCs w:val="24"/>
                <w:lang w:val="en-GB"/>
              </w:rPr>
              <w:t>ing them with new ones is more expedient</w:t>
            </w:r>
            <w:r w:rsidRPr="00C540E2">
              <w:rPr>
                <w:rFonts w:ascii="Times New Roman" w:eastAsia="Calibri" w:hAnsi="Times New Roman" w:cs="Times New Roman"/>
                <w:sz w:val="24"/>
                <w:szCs w:val="24"/>
                <w:lang w:val="en-GB"/>
              </w:rPr>
              <w:t xml:space="preserve">; assets do not lose their identity (ability to perform functions) even when </w:t>
            </w:r>
            <w:r w:rsidR="00E755C8" w:rsidRPr="00C540E2">
              <w:rPr>
                <w:rFonts w:ascii="Times New Roman" w:eastAsia="Calibri" w:hAnsi="Times New Roman" w:cs="Times New Roman"/>
                <w:sz w:val="24"/>
                <w:szCs w:val="24"/>
                <w:lang w:val="en-GB"/>
              </w:rPr>
              <w:t>integrated</w:t>
            </w:r>
            <w:r w:rsidRPr="00C540E2">
              <w:rPr>
                <w:rFonts w:ascii="Times New Roman" w:eastAsia="Calibri" w:hAnsi="Times New Roman" w:cs="Times New Roman"/>
                <w:sz w:val="24"/>
                <w:szCs w:val="24"/>
                <w:lang w:val="en-GB"/>
              </w:rPr>
              <w:t xml:space="preserve"> into another more complex unit.</w:t>
            </w:r>
          </w:p>
          <w:p w14:paraId="13FF4408" w14:textId="10D8EBB6" w:rsidR="00DA75AF" w:rsidRPr="00C540E2" w:rsidRDefault="00E755C8" w:rsidP="00C540E2">
            <w:pPr>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In cases when it may or is used for other than</w:t>
            </w:r>
            <w:r w:rsidR="003569DE" w:rsidRPr="00C540E2">
              <w:rPr>
                <w:rFonts w:ascii="Times New Roman" w:eastAsia="Calibri" w:hAnsi="Times New Roman" w:cs="Times New Roman"/>
                <w:sz w:val="24"/>
                <w:szCs w:val="24"/>
                <w:lang w:val="en-GB"/>
              </w:rPr>
              <w:t xml:space="preserve"> the</w:t>
            </w:r>
            <w:r w:rsidRPr="00C540E2">
              <w:rPr>
                <w:rFonts w:ascii="Times New Roman" w:eastAsia="Calibri" w:hAnsi="Times New Roman" w:cs="Times New Roman"/>
                <w:sz w:val="24"/>
                <w:szCs w:val="24"/>
                <w:lang w:val="en-GB"/>
              </w:rPr>
              <w:t xml:space="preserve"> project</w:t>
            </w:r>
            <w:r w:rsidR="003569DE" w:rsidRPr="00C540E2">
              <w:rPr>
                <w:rFonts w:ascii="Times New Roman" w:eastAsia="Calibri" w:hAnsi="Times New Roman" w:cs="Times New Roman"/>
                <w:sz w:val="24"/>
                <w:szCs w:val="24"/>
                <w:lang w:val="en-GB"/>
              </w:rPr>
              <w:t>’s</w:t>
            </w:r>
            <w:r w:rsidRPr="00C540E2">
              <w:rPr>
                <w:rFonts w:ascii="Times New Roman" w:eastAsia="Calibri" w:hAnsi="Times New Roman" w:cs="Times New Roman"/>
                <w:sz w:val="24"/>
                <w:szCs w:val="24"/>
                <w:lang w:val="en-GB"/>
              </w:rPr>
              <w:t xml:space="preserve"> purposes, costs of depreciation or</w:t>
            </w:r>
            <w:r w:rsidR="00DA75AF" w:rsidRPr="00C540E2">
              <w:rPr>
                <w:rFonts w:ascii="Times New Roman" w:eastAsia="Calibri" w:hAnsi="Times New Roman" w:cs="Times New Roman"/>
                <w:sz w:val="24"/>
                <w:szCs w:val="24"/>
                <w:lang w:val="en-GB"/>
              </w:rPr>
              <w:t xml:space="preserve"> acquisition of the equipment (if applicable) </w:t>
            </w:r>
            <w:r w:rsidR="00731803" w:rsidRPr="00C540E2">
              <w:rPr>
                <w:rFonts w:ascii="Times New Roman" w:eastAsia="Calibri" w:hAnsi="Times New Roman" w:cs="Times New Roman"/>
                <w:sz w:val="24"/>
                <w:szCs w:val="24"/>
                <w:lang w:val="en-GB"/>
              </w:rPr>
              <w:t>shall be</w:t>
            </w:r>
            <w:r w:rsidR="00DA75AF" w:rsidRPr="00C540E2">
              <w:rPr>
                <w:rFonts w:ascii="Times New Roman" w:eastAsia="Calibri" w:hAnsi="Times New Roman" w:cs="Times New Roman"/>
                <w:sz w:val="24"/>
                <w:szCs w:val="24"/>
                <w:lang w:val="en-GB"/>
              </w:rPr>
              <w:t xml:space="preserve"> financed </w:t>
            </w:r>
            <w:r w:rsidR="003569DE" w:rsidRPr="00C540E2">
              <w:rPr>
                <w:rFonts w:ascii="Times New Roman" w:eastAsia="Calibri" w:hAnsi="Times New Roman" w:cs="Times New Roman"/>
                <w:sz w:val="24"/>
                <w:szCs w:val="24"/>
                <w:lang w:val="en-GB"/>
              </w:rPr>
              <w:t xml:space="preserve">in application of the </w:t>
            </w:r>
            <w:r w:rsidR="00DA75AF" w:rsidRPr="00C540E2">
              <w:rPr>
                <w:rFonts w:ascii="Times New Roman" w:eastAsia="Calibri" w:hAnsi="Times New Roman" w:cs="Times New Roman"/>
                <w:i/>
                <w:iCs/>
                <w:sz w:val="24"/>
                <w:szCs w:val="24"/>
                <w:lang w:val="en-GB"/>
              </w:rPr>
              <w:t>pro-rata</w:t>
            </w:r>
            <w:r w:rsidR="00DA75AF" w:rsidRPr="00C540E2">
              <w:rPr>
                <w:rFonts w:ascii="Times New Roman" w:eastAsia="Calibri" w:hAnsi="Times New Roman" w:cs="Times New Roman"/>
                <w:sz w:val="24"/>
                <w:szCs w:val="24"/>
                <w:lang w:val="en-GB"/>
              </w:rPr>
              <w:t xml:space="preserve"> </w:t>
            </w:r>
            <w:r w:rsidR="003569DE" w:rsidRPr="00C540E2">
              <w:rPr>
                <w:rFonts w:ascii="Times New Roman" w:eastAsia="Calibri" w:hAnsi="Times New Roman" w:cs="Times New Roman"/>
                <w:sz w:val="24"/>
                <w:szCs w:val="24"/>
                <w:lang w:val="en-GB"/>
              </w:rPr>
              <w:t>principle</w:t>
            </w:r>
            <w:r w:rsidR="00DA75AF" w:rsidRPr="00C540E2">
              <w:rPr>
                <w:rFonts w:ascii="Times New Roman" w:eastAsia="Calibri" w:hAnsi="Times New Roman" w:cs="Times New Roman"/>
                <w:sz w:val="24"/>
                <w:szCs w:val="24"/>
                <w:lang w:val="en-GB"/>
              </w:rPr>
              <w:t xml:space="preserve"> (taking into account the proportion of</w:t>
            </w:r>
            <w:r w:rsidR="003569DE" w:rsidRPr="00C540E2">
              <w:rPr>
                <w:rFonts w:ascii="Times New Roman" w:eastAsia="Calibri" w:hAnsi="Times New Roman" w:cs="Times New Roman"/>
                <w:sz w:val="24"/>
                <w:szCs w:val="24"/>
                <w:lang w:val="en-GB"/>
              </w:rPr>
              <w:t xml:space="preserve"> the use of</w:t>
            </w:r>
            <w:r w:rsidR="00DA75AF" w:rsidRPr="00C540E2">
              <w:rPr>
                <w:rFonts w:ascii="Times New Roman" w:eastAsia="Calibri" w:hAnsi="Times New Roman" w:cs="Times New Roman"/>
                <w:sz w:val="24"/>
                <w:szCs w:val="24"/>
                <w:lang w:val="en-GB"/>
              </w:rPr>
              <w:t xml:space="preserve"> equipment </w:t>
            </w:r>
            <w:r w:rsidR="00731803" w:rsidRPr="00C540E2">
              <w:rPr>
                <w:rFonts w:ascii="Times New Roman" w:eastAsia="Calibri" w:hAnsi="Times New Roman" w:cs="Times New Roman"/>
                <w:sz w:val="24"/>
                <w:szCs w:val="24"/>
                <w:lang w:val="en-GB"/>
              </w:rPr>
              <w:t xml:space="preserve">for project </w:t>
            </w:r>
            <w:r w:rsidR="00DA75AF" w:rsidRPr="00C540E2">
              <w:rPr>
                <w:rFonts w:ascii="Times New Roman" w:eastAsia="Calibri" w:hAnsi="Times New Roman" w:cs="Times New Roman"/>
                <w:sz w:val="24"/>
                <w:szCs w:val="24"/>
                <w:lang w:val="en-GB"/>
              </w:rPr>
              <w:t>and other purposes).</w:t>
            </w:r>
          </w:p>
          <w:p w14:paraId="17EC7B23" w14:textId="519A3960" w:rsidR="007A12F5" w:rsidRPr="00C540E2" w:rsidRDefault="003569DE" w:rsidP="00C540E2">
            <w:pPr>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Costs for</w:t>
            </w:r>
            <w:r w:rsidR="00DA75AF" w:rsidRPr="00C540E2">
              <w:rPr>
                <w:rFonts w:ascii="Times New Roman" w:eastAsia="Calibri" w:hAnsi="Times New Roman" w:cs="Times New Roman"/>
                <w:sz w:val="24"/>
                <w:szCs w:val="24"/>
                <w:lang w:val="en-GB"/>
              </w:rPr>
              <w:t xml:space="preserve"> </w:t>
            </w:r>
            <w:r w:rsidR="002957C6" w:rsidRPr="00C540E2">
              <w:rPr>
                <w:rFonts w:ascii="Times New Roman" w:eastAsia="Calibri" w:hAnsi="Times New Roman" w:cs="Times New Roman"/>
                <w:sz w:val="24"/>
                <w:szCs w:val="24"/>
                <w:lang w:val="en-GB"/>
              </w:rPr>
              <w:t>fixed</w:t>
            </w:r>
            <w:r w:rsidR="000D3CEE" w:rsidRPr="00C540E2">
              <w:rPr>
                <w:rFonts w:ascii="Times New Roman" w:eastAsia="Calibri" w:hAnsi="Times New Roman" w:cs="Times New Roman"/>
                <w:sz w:val="24"/>
                <w:szCs w:val="24"/>
                <w:lang w:val="en-GB"/>
              </w:rPr>
              <w:t xml:space="preserve"> assets may not exceed 2</w:t>
            </w:r>
            <w:r w:rsidR="00DA75AF" w:rsidRPr="00C540E2">
              <w:rPr>
                <w:rFonts w:ascii="Times New Roman" w:eastAsia="Calibri" w:hAnsi="Times New Roman" w:cs="Times New Roman"/>
                <w:sz w:val="24"/>
                <w:szCs w:val="24"/>
                <w:lang w:val="en-GB"/>
              </w:rPr>
              <w:t>0%</w:t>
            </w:r>
            <w:r w:rsidRPr="00C540E2">
              <w:rPr>
                <w:rFonts w:ascii="Times New Roman" w:eastAsia="Calibri" w:hAnsi="Times New Roman" w:cs="Times New Roman"/>
                <w:sz w:val="24"/>
                <w:szCs w:val="24"/>
                <w:lang w:val="en-GB"/>
              </w:rPr>
              <w:t xml:space="preserve"> of </w:t>
            </w:r>
            <w:r w:rsidR="00DA75AF" w:rsidRPr="00C540E2">
              <w:rPr>
                <w:rFonts w:ascii="Times New Roman" w:eastAsia="Calibri" w:hAnsi="Times New Roman" w:cs="Times New Roman"/>
                <w:sz w:val="24"/>
                <w:szCs w:val="24"/>
                <w:lang w:val="en-GB"/>
              </w:rPr>
              <w:t>eligible</w:t>
            </w:r>
            <w:r w:rsidRPr="00C540E2">
              <w:rPr>
                <w:rFonts w:ascii="Times New Roman" w:eastAsia="Calibri" w:hAnsi="Times New Roman" w:cs="Times New Roman"/>
                <w:sz w:val="24"/>
                <w:szCs w:val="24"/>
                <w:lang w:val="en-GB"/>
              </w:rPr>
              <w:t xml:space="preserve"> project</w:t>
            </w:r>
            <w:r w:rsidR="00DA75AF" w:rsidRPr="00C540E2">
              <w:rPr>
                <w:rFonts w:ascii="Times New Roman" w:eastAsia="Calibri" w:hAnsi="Times New Roman" w:cs="Times New Roman"/>
                <w:sz w:val="24"/>
                <w:szCs w:val="24"/>
                <w:lang w:val="en-GB"/>
              </w:rPr>
              <w:t xml:space="preserve"> costs</w:t>
            </w:r>
            <w:r w:rsidRPr="00C540E2">
              <w:rPr>
                <w:rFonts w:ascii="Times New Roman" w:eastAsia="Calibri" w:hAnsi="Times New Roman" w:cs="Times New Roman"/>
                <w:sz w:val="24"/>
                <w:szCs w:val="24"/>
                <w:lang w:val="en-GB"/>
              </w:rPr>
              <w:t>.</w:t>
            </w:r>
          </w:p>
        </w:tc>
      </w:tr>
      <w:tr w:rsidR="00B60AC6" w:rsidRPr="00C540E2" w14:paraId="7B847650"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89E32"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lastRenderedPageBreak/>
              <w:t>4.</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9C25A" w14:textId="21AB2C1A" w:rsidR="00063A27" w:rsidRPr="00C540E2" w:rsidRDefault="003569DE"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Goods (current assets) and services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F426B" w14:textId="1E55996D" w:rsidR="00063A27" w:rsidRPr="00C540E2" w:rsidRDefault="00C04519"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Costs of acquisition of goods and services </w:t>
            </w:r>
            <w:r w:rsidR="00731803" w:rsidRPr="00C540E2">
              <w:rPr>
                <w:rFonts w:ascii="Times New Roman" w:eastAsia="Calibri" w:hAnsi="Times New Roman" w:cs="Times New Roman"/>
                <w:sz w:val="24"/>
                <w:szCs w:val="24"/>
                <w:lang w:val="en-GB"/>
              </w:rPr>
              <w:t xml:space="preserve">necessary for the </w:t>
            </w:r>
            <w:r w:rsidR="004C608B" w:rsidRPr="00C540E2">
              <w:rPr>
                <w:rFonts w:ascii="Times New Roman" w:eastAsia="Calibri" w:hAnsi="Times New Roman" w:cs="Times New Roman"/>
                <w:sz w:val="24"/>
                <w:szCs w:val="24"/>
                <w:lang w:val="en-GB"/>
              </w:rPr>
              <w:t>implementation</w:t>
            </w:r>
            <w:r w:rsidR="00731803" w:rsidRPr="00C540E2">
              <w:rPr>
                <w:rFonts w:ascii="Times New Roman" w:eastAsia="Calibri" w:hAnsi="Times New Roman" w:cs="Times New Roman"/>
                <w:sz w:val="24"/>
                <w:szCs w:val="24"/>
                <w:lang w:val="en-GB"/>
              </w:rPr>
              <w:t xml:space="preserve"> of the project, the achievement of goals and indicators of the project, and project administration and </w:t>
            </w:r>
            <w:r w:rsidR="00921D89" w:rsidRPr="00C540E2">
              <w:rPr>
                <w:rFonts w:ascii="Times New Roman" w:eastAsia="Calibri" w:hAnsi="Times New Roman" w:cs="Times New Roman"/>
                <w:sz w:val="24"/>
                <w:szCs w:val="24"/>
                <w:lang w:val="en-GB"/>
              </w:rPr>
              <w:t>publicity</w:t>
            </w:r>
            <w:r w:rsidR="00063A27" w:rsidRPr="00C540E2">
              <w:rPr>
                <w:rFonts w:ascii="Times New Roman" w:eastAsia="Calibri" w:hAnsi="Times New Roman" w:cs="Times New Roman"/>
                <w:sz w:val="24"/>
                <w:szCs w:val="24"/>
                <w:lang w:val="en-GB"/>
              </w:rPr>
              <w:t>.</w:t>
            </w:r>
          </w:p>
          <w:p w14:paraId="2DC1B689" w14:textId="6CD753B8" w:rsidR="00BA7DC5" w:rsidRPr="00C540E2" w:rsidRDefault="0073180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hAnsi="Times New Roman" w:cs="Times New Roman"/>
                <w:sz w:val="24"/>
                <w:szCs w:val="24"/>
                <w:lang w:val="en-GB"/>
              </w:rPr>
              <w:t xml:space="preserve">In cases where they may or are </w:t>
            </w:r>
            <w:r w:rsidRPr="00C540E2">
              <w:rPr>
                <w:rFonts w:ascii="Times New Roman" w:eastAsia="Calibri" w:hAnsi="Times New Roman" w:cs="Times New Roman"/>
                <w:sz w:val="24"/>
                <w:szCs w:val="24"/>
                <w:lang w:val="en-GB"/>
              </w:rPr>
              <w:t xml:space="preserve">used for other than the project’s purposes, the costs of acquisition of goods from the project’s funds shall be financed in application of the </w:t>
            </w:r>
            <w:r w:rsidRPr="00C540E2">
              <w:rPr>
                <w:rFonts w:ascii="Times New Roman" w:eastAsia="Calibri" w:hAnsi="Times New Roman" w:cs="Times New Roman"/>
                <w:i/>
                <w:iCs/>
                <w:sz w:val="24"/>
                <w:szCs w:val="24"/>
                <w:lang w:val="en-GB"/>
              </w:rPr>
              <w:t>pro-rata</w:t>
            </w:r>
            <w:r w:rsidRPr="00C540E2">
              <w:rPr>
                <w:rFonts w:ascii="Times New Roman" w:eastAsia="Calibri" w:hAnsi="Times New Roman" w:cs="Times New Roman"/>
                <w:sz w:val="24"/>
                <w:szCs w:val="24"/>
                <w:lang w:val="en-GB"/>
              </w:rPr>
              <w:t xml:space="preserve"> principle (taking into account the proportion of the use of equipment for project and other purposes</w:t>
            </w:r>
            <w:r w:rsidR="00BA7DC5" w:rsidRPr="00C540E2">
              <w:rPr>
                <w:rFonts w:ascii="Times New Roman" w:hAnsi="Times New Roman" w:cs="Times New Roman"/>
                <w:sz w:val="24"/>
                <w:szCs w:val="24"/>
                <w:lang w:val="en-GB"/>
              </w:rPr>
              <w:t>).</w:t>
            </w:r>
          </w:p>
        </w:tc>
      </w:tr>
      <w:tr w:rsidR="00B60AC6" w:rsidRPr="00C540E2" w14:paraId="3DC0E4F7"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BE562"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5.</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5BA010" w14:textId="7804E1C2" w:rsidR="00063A27" w:rsidRPr="00C540E2" w:rsidRDefault="004C608B"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Business trips and traveling </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F8D564" w14:textId="77777777" w:rsidR="00EE0AC3" w:rsidRPr="00C540E2" w:rsidRDefault="00EE0AC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Costs of traveling and business trips of employees carrying out and administering project activities and engaged in publicizing project activities, including daily allowances.</w:t>
            </w:r>
          </w:p>
          <w:p w14:paraId="491F2F4D" w14:textId="77777777" w:rsidR="00EE0AC3" w:rsidRPr="00C540E2" w:rsidRDefault="00EE0AC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All Project Promoters and / or Partners from Lithuania, irrespective of their legal status, shall be subject to provisions of the Resolution No. 526 of the Government of the Republic of Lithuania of 29 April 2004 “Regarding the Payment of Daily Allowances and Compensation of Other Business Trip Expenses” (except for cases where expenses are declared and compensated in a simplified procedure).</w:t>
            </w:r>
          </w:p>
          <w:p w14:paraId="4C666BDF" w14:textId="4D06698A" w:rsidR="00EE0AC3" w:rsidRPr="00C540E2" w:rsidRDefault="00EE0AC3" w:rsidP="00C540E2">
            <w:pPr>
              <w:shd w:val="clear" w:color="auto" w:fill="FFFFFF"/>
              <w:spacing w:after="120" w:line="240" w:lineRule="auto"/>
              <w:ind w:left="33"/>
              <w:jc w:val="both"/>
              <w:rPr>
                <w:rFonts w:ascii="Times New Roman" w:eastAsia="Calibri" w:hAnsi="Times New Roman" w:cs="Times New Roman"/>
                <w:bCs/>
                <w:sz w:val="24"/>
                <w:szCs w:val="24"/>
                <w:lang w:val="en-GB"/>
              </w:rPr>
            </w:pPr>
            <w:r w:rsidRPr="00C540E2">
              <w:rPr>
                <w:rFonts w:ascii="Times New Roman" w:eastAsia="Calibri" w:hAnsi="Times New Roman" w:cs="Times New Roman"/>
                <w:sz w:val="24"/>
                <w:szCs w:val="24"/>
                <w:lang w:val="en-GB"/>
              </w:rPr>
              <w:t xml:space="preserve">Expenses of business trips and traveling abroad (where they last for more than 1 day) (excluding costs of traveling abroad and going back in all types of vehicles) shall be declared and compensated in a simplified procedure in application of the respective per diem rates of the European Commission (which cover costs of travel insurance, accommodation, meals, local trips and other necessary travel expenses abroad) (unit costs) </w:t>
            </w:r>
            <w:r w:rsidRPr="00C540E2">
              <w:rPr>
                <w:rFonts w:ascii="Times New Roman" w:eastAsia="Calibri" w:hAnsi="Times New Roman" w:cs="Times New Roman"/>
                <w:bCs/>
                <w:sz w:val="24"/>
                <w:szCs w:val="24"/>
                <w:lang w:val="en-GB"/>
              </w:rPr>
              <w:t xml:space="preserve">(also available here: </w:t>
            </w:r>
            <w:hyperlink r:id="rId12" w:history="1">
              <w:r w:rsidRPr="00C540E2">
                <w:rPr>
                  <w:rStyle w:val="Hyperlink"/>
                  <w:rFonts w:ascii="Times New Roman" w:eastAsia="Calibri" w:hAnsi="Times New Roman" w:cs="Times New Roman"/>
                  <w:bCs/>
                  <w:sz w:val="24"/>
                  <w:szCs w:val="24"/>
                  <w:lang w:val="en-GB"/>
                </w:rPr>
                <w:t>https://www.cpva.lt/data/public/uploads/2020/01/europos-komisijos-skelbiamos-dienpinigiu-normos-perdiems-2017-03-17_en.pdf</w:t>
              </w:r>
            </w:hyperlink>
            <w:r w:rsidRPr="00C540E2">
              <w:rPr>
                <w:rFonts w:ascii="Times New Roman" w:eastAsia="Calibri" w:hAnsi="Times New Roman" w:cs="Times New Roman"/>
                <w:bCs/>
                <w:sz w:val="24"/>
                <w:szCs w:val="24"/>
                <w:lang w:val="en-GB"/>
              </w:rPr>
              <w:t xml:space="preserve"> ). The per diems applied during the implementation of the project shall remain unchanged.</w:t>
            </w:r>
          </w:p>
          <w:p w14:paraId="10452E1F" w14:textId="2250E06A" w:rsidR="00EE0AC3" w:rsidRPr="00C540E2" w:rsidRDefault="00EE0AC3"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 xml:space="preserve">Travel expenses incurred during the business trips and traveling within the territory of the Republic of Lithuania (fuel or public transportation expenses) shall be declared and compensated on a simplified bases, applying the unit costs per 1 km (EUR 0.07/ km exclusive of VAT, or EUR 0.08/ km inclusive of VAT), set in the Report No. FĮ-005 on the Analysis for Setting Unit costs of Fuel and Public Transportation Expenses (edition of 24 April 2015) of the Ministry of Finance of the Republic of Lithuania, available on the website </w:t>
            </w:r>
            <w:hyperlink r:id="rId13" w:history="1">
              <w:r w:rsidRPr="00C540E2">
                <w:rPr>
                  <w:rFonts w:ascii="Times New Roman" w:eastAsia="Calibri" w:hAnsi="Times New Roman" w:cs="Times New Roman"/>
                  <w:sz w:val="24"/>
                  <w:szCs w:val="24"/>
                  <w:u w:val="single"/>
                  <w:lang w:val="en-GB"/>
                </w:rPr>
                <w:t>www.esinvesticijos.lt</w:t>
              </w:r>
            </w:hyperlink>
            <w:r w:rsidRPr="00C540E2">
              <w:rPr>
                <w:rFonts w:ascii="Times New Roman" w:eastAsia="Calibri" w:hAnsi="Times New Roman" w:cs="Times New Roman"/>
                <w:sz w:val="24"/>
                <w:szCs w:val="24"/>
                <w:lang w:val="en-GB"/>
              </w:rPr>
              <w:t xml:space="preserve"> (document “Analysis of </w:t>
            </w:r>
            <w:r w:rsidRPr="00C540E2">
              <w:rPr>
                <w:rFonts w:ascii="Times New Roman" w:eastAsia="Calibri" w:hAnsi="Times New Roman" w:cs="Times New Roman"/>
                <w:sz w:val="24"/>
                <w:szCs w:val="24"/>
                <w:lang w:val="en-GB"/>
              </w:rPr>
              <w:lastRenderedPageBreak/>
              <w:t xml:space="preserve">Simplified Compensation of Expenses” under the section “Documents”, sub-section “Analyses”). </w:t>
            </w:r>
          </w:p>
          <w:p w14:paraId="5EBE188E" w14:textId="49070226" w:rsidR="00BF32C7" w:rsidRPr="00C540E2" w:rsidRDefault="00EE0AC3"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The unit costs applied during the implementation of the project shall not be changed, except when changes the VAT rate applicable to fuel and (or) public transport costs; and (or) when following the methodology used for the determination of unit costs for projects of the European Union Structural Funds, the managing or audit authority of the European Union Structural Funds determines that unit cost rate or the conditions of its application has not been properly determined. In cases when the unit cost rate should have been lower or otherwise applied, the adjusted rate or conditions of its application shall apply for the payment of simplified project costs incurred from the date of entry into force of the revision of the rate or conditions of its application).</w:t>
            </w:r>
          </w:p>
        </w:tc>
      </w:tr>
      <w:tr w:rsidR="00B60AC6" w:rsidRPr="00C540E2" w14:paraId="55A4001C"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CA85B"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lastRenderedPageBreak/>
              <w:t xml:space="preserve">6. </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736F9E" w14:textId="5A64CC47" w:rsidR="00063A27" w:rsidRPr="00C540E2" w:rsidRDefault="000159B8"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Salary </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E9AA4" w14:textId="452BEAB6" w:rsidR="00C92BF7" w:rsidRPr="00C540E2" w:rsidRDefault="00C92BF7" w:rsidP="00C540E2">
            <w:p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Salary payable for the time of employees hired or assigned to administer the project or engage in the </w:t>
            </w:r>
            <w:r w:rsidR="00EE2273" w:rsidRPr="00C540E2">
              <w:rPr>
                <w:rFonts w:ascii="Times New Roman" w:eastAsia="Calibri" w:hAnsi="Times New Roman" w:cs="Times New Roman"/>
                <w:sz w:val="24"/>
                <w:szCs w:val="24"/>
                <w:lang w:val="en-GB"/>
              </w:rPr>
              <w:t xml:space="preserve">publicizing </w:t>
            </w:r>
            <w:r w:rsidRPr="00C540E2">
              <w:rPr>
                <w:rFonts w:ascii="Times New Roman" w:eastAsia="Calibri" w:hAnsi="Times New Roman" w:cs="Times New Roman"/>
                <w:sz w:val="24"/>
                <w:szCs w:val="24"/>
                <w:lang w:val="en-GB"/>
              </w:rPr>
              <w:t xml:space="preserve"> the project, which they spent actually working on the project: salary, social insurance contributions and salary-related expenses established by legal acts, if they are in line with the usual </w:t>
            </w:r>
            <w:r w:rsidR="00EE2273"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EE2273"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romoter’s and </w:t>
            </w:r>
            <w:r w:rsidR="00EE2273"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artner’s salary policy. Solely the share of costs, which is directly related to the project being carried out and calculated and paid for the time spent working on the project shall be considered eligible costs.</w:t>
            </w:r>
          </w:p>
          <w:p w14:paraId="2ABF4BF0" w14:textId="75E2E2B4" w:rsidR="00C92BF7" w:rsidRPr="00C540E2" w:rsidRDefault="00C92BF7"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Respective salary expenses of employees of public authorities shall be eligible to the extent they are related to activities, which the respective public authority would not carry out</w:t>
            </w:r>
            <w:r w:rsidR="00790347"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if it wasn’t for the project.</w:t>
            </w:r>
          </w:p>
          <w:p w14:paraId="2ACD5FE2" w14:textId="71297226" w:rsidR="00F92261" w:rsidRPr="00C540E2" w:rsidRDefault="00C92BF7" w:rsidP="00C540E2">
            <w:p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Salary expenses shall not exceed the market rates payable to employees of a respective specialization and qualification, except in duly justified cases. </w:t>
            </w:r>
            <w:r w:rsidR="00CC424B" w:rsidRPr="00C540E2">
              <w:rPr>
                <w:rFonts w:ascii="Times New Roman" w:eastAsia="Calibri" w:hAnsi="Times New Roman" w:cs="Times New Roman"/>
                <w:sz w:val="24"/>
                <w:szCs w:val="24"/>
                <w:lang w:val="en-GB"/>
              </w:rPr>
              <w:t xml:space="preserve">Salary of employees of </w:t>
            </w:r>
            <w:r w:rsidRPr="00C540E2">
              <w:rPr>
                <w:rFonts w:ascii="Times New Roman" w:eastAsia="Calibri" w:hAnsi="Times New Roman" w:cs="Times New Roman"/>
                <w:sz w:val="24"/>
                <w:szCs w:val="24"/>
                <w:lang w:val="en-GB"/>
              </w:rPr>
              <w:t xml:space="preserve">budgetary </w:t>
            </w:r>
            <w:r w:rsidR="00CC424B" w:rsidRPr="00C540E2">
              <w:rPr>
                <w:rFonts w:ascii="Times New Roman" w:eastAsia="Calibri" w:hAnsi="Times New Roman" w:cs="Times New Roman"/>
                <w:sz w:val="24"/>
                <w:szCs w:val="24"/>
                <w:lang w:val="en-GB"/>
              </w:rPr>
              <w:t>institutions</w:t>
            </w:r>
            <w:r w:rsidRPr="00C540E2">
              <w:rPr>
                <w:rFonts w:ascii="Times New Roman" w:eastAsia="Calibri" w:hAnsi="Times New Roman" w:cs="Times New Roman"/>
                <w:sz w:val="24"/>
                <w:szCs w:val="24"/>
                <w:lang w:val="en-GB"/>
              </w:rPr>
              <w:t xml:space="preserve">, teachers and educational staff shall be calculated in accordance with national legislation governing the calculation of </w:t>
            </w:r>
            <w:r w:rsidR="00CC424B" w:rsidRPr="00C540E2">
              <w:rPr>
                <w:rFonts w:ascii="Times New Roman" w:eastAsia="Calibri" w:hAnsi="Times New Roman" w:cs="Times New Roman"/>
                <w:sz w:val="24"/>
                <w:szCs w:val="24"/>
                <w:lang w:val="en-GB"/>
              </w:rPr>
              <w:t>salary of such employees</w:t>
            </w:r>
            <w:r w:rsidRPr="00C540E2">
              <w:rPr>
                <w:rFonts w:ascii="Times New Roman" w:eastAsia="Calibri" w:hAnsi="Times New Roman" w:cs="Times New Roman"/>
                <w:sz w:val="24"/>
                <w:szCs w:val="24"/>
                <w:lang w:val="en-GB"/>
              </w:rPr>
              <w:t xml:space="preserve">. </w:t>
            </w:r>
            <w:r w:rsidR="00736326" w:rsidRPr="00C540E2">
              <w:rPr>
                <w:rFonts w:ascii="Times New Roman" w:eastAsia="Calibri" w:hAnsi="Times New Roman" w:cs="Times New Roman"/>
                <w:sz w:val="24"/>
                <w:szCs w:val="24"/>
                <w:lang w:val="en-GB"/>
              </w:rPr>
              <w:t xml:space="preserve">The planning of salaries </w:t>
            </w:r>
            <w:r w:rsidRPr="00C540E2">
              <w:rPr>
                <w:rFonts w:ascii="Times New Roman" w:eastAsia="Calibri" w:hAnsi="Times New Roman" w:cs="Times New Roman"/>
                <w:sz w:val="24"/>
                <w:szCs w:val="24"/>
                <w:lang w:val="en-GB"/>
              </w:rPr>
              <w:t>may be based on data published by Statistics</w:t>
            </w:r>
            <w:r w:rsidR="00790347" w:rsidRPr="00C540E2">
              <w:rPr>
                <w:rFonts w:ascii="Times New Roman" w:eastAsia="Calibri" w:hAnsi="Times New Roman" w:cs="Times New Roman"/>
                <w:sz w:val="24"/>
                <w:szCs w:val="24"/>
                <w:lang w:val="en-GB"/>
              </w:rPr>
              <w:t xml:space="preserve"> Lithuania </w:t>
            </w:r>
            <w:r w:rsidR="00736326" w:rsidRPr="00C540E2">
              <w:rPr>
                <w:rFonts w:ascii="Times New Roman" w:eastAsia="Calibri" w:hAnsi="Times New Roman" w:cs="Times New Roman"/>
                <w:sz w:val="24"/>
                <w:szCs w:val="24"/>
                <w:lang w:val="en-GB"/>
              </w:rPr>
              <w:t>of the Republic of Lithuania</w:t>
            </w:r>
            <w:r w:rsidRPr="00C540E2">
              <w:rPr>
                <w:rFonts w:ascii="Times New Roman" w:eastAsia="Calibri" w:hAnsi="Times New Roman" w:cs="Times New Roman"/>
                <w:sz w:val="24"/>
                <w:szCs w:val="24"/>
                <w:lang w:val="en-GB"/>
              </w:rPr>
              <w:t xml:space="preserve">, data on similar projects, historical </w:t>
            </w:r>
            <w:r w:rsidR="00790347" w:rsidRPr="00C540E2">
              <w:rPr>
                <w:rFonts w:ascii="Times New Roman" w:eastAsia="Calibri" w:hAnsi="Times New Roman" w:cs="Times New Roman"/>
                <w:sz w:val="24"/>
                <w:szCs w:val="24"/>
                <w:lang w:val="en-GB"/>
              </w:rPr>
              <w:t>salary</w:t>
            </w:r>
            <w:r w:rsidRPr="00C540E2">
              <w:rPr>
                <w:rFonts w:ascii="Times New Roman" w:eastAsia="Calibri" w:hAnsi="Times New Roman" w:cs="Times New Roman"/>
                <w:sz w:val="24"/>
                <w:szCs w:val="24"/>
                <w:lang w:val="en-GB"/>
              </w:rPr>
              <w:t xml:space="preserve"> data provided by the </w:t>
            </w:r>
            <w:r w:rsidR="00790347"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 xml:space="preserve">pplicant and / or </w:t>
            </w:r>
            <w:r w:rsidR="00790347" w:rsidRPr="00C540E2">
              <w:rPr>
                <w:rFonts w:ascii="Times New Roman" w:eastAsia="Calibri" w:hAnsi="Times New Roman" w:cs="Times New Roman"/>
                <w:sz w:val="24"/>
                <w:szCs w:val="24"/>
                <w:lang w:val="en-GB"/>
              </w:rPr>
              <w:t>a</w:t>
            </w:r>
            <w:r w:rsidR="00736326" w:rsidRPr="00C540E2">
              <w:rPr>
                <w:rFonts w:ascii="Times New Roman" w:eastAsia="Calibri" w:hAnsi="Times New Roman" w:cs="Times New Roman"/>
                <w:sz w:val="24"/>
                <w:szCs w:val="24"/>
                <w:lang w:val="en-GB"/>
              </w:rPr>
              <w:t xml:space="preserve"> </w:t>
            </w:r>
            <w:r w:rsidR="00790347"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artner, or data on </w:t>
            </w:r>
            <w:r w:rsidR="00736326" w:rsidRPr="00C540E2">
              <w:rPr>
                <w:rFonts w:ascii="Times New Roman" w:eastAsia="Calibri" w:hAnsi="Times New Roman" w:cs="Times New Roman"/>
                <w:sz w:val="24"/>
                <w:szCs w:val="24"/>
                <w:lang w:val="en-GB"/>
              </w:rPr>
              <w:t>salary normally paid in the c</w:t>
            </w:r>
            <w:r w:rsidRPr="00C540E2">
              <w:rPr>
                <w:rFonts w:ascii="Times New Roman" w:eastAsia="Calibri" w:hAnsi="Times New Roman" w:cs="Times New Roman"/>
                <w:sz w:val="24"/>
                <w:szCs w:val="24"/>
                <w:lang w:val="en-GB"/>
              </w:rPr>
              <w:t>ompany (</w:t>
            </w:r>
            <w:r w:rsidR="00736326" w:rsidRPr="00C540E2">
              <w:rPr>
                <w:rFonts w:ascii="Times New Roman" w:eastAsia="Calibri" w:hAnsi="Times New Roman" w:cs="Times New Roman"/>
                <w:sz w:val="24"/>
                <w:szCs w:val="24"/>
                <w:lang w:val="en-GB"/>
              </w:rPr>
              <w:t>institution</w:t>
            </w:r>
            <w:r w:rsidRPr="00C540E2">
              <w:rPr>
                <w:rFonts w:ascii="Times New Roman" w:eastAsia="Calibri" w:hAnsi="Times New Roman" w:cs="Times New Roman"/>
                <w:sz w:val="24"/>
                <w:szCs w:val="24"/>
                <w:lang w:val="en-GB"/>
              </w:rPr>
              <w:t>, organization) for the same functions and / or duties (</w:t>
            </w:r>
            <w:r w:rsidR="00736326" w:rsidRPr="00C540E2">
              <w:rPr>
                <w:rFonts w:ascii="Times New Roman" w:eastAsia="Calibri" w:hAnsi="Times New Roman" w:cs="Times New Roman"/>
                <w:sz w:val="24"/>
                <w:szCs w:val="24"/>
                <w:lang w:val="en-GB"/>
              </w:rPr>
              <w:t xml:space="preserve">for example, statements </w:t>
            </w:r>
            <w:r w:rsidRPr="00C540E2">
              <w:rPr>
                <w:rFonts w:ascii="Times New Roman" w:eastAsia="Calibri" w:hAnsi="Times New Roman" w:cs="Times New Roman"/>
                <w:sz w:val="24"/>
                <w:szCs w:val="24"/>
                <w:lang w:val="en-GB"/>
              </w:rPr>
              <w:t>on the average monthly salary of 6 months</w:t>
            </w:r>
            <w:r w:rsidR="00736326" w:rsidRPr="00C540E2">
              <w:rPr>
                <w:rFonts w:ascii="Times New Roman" w:eastAsia="Calibri" w:hAnsi="Times New Roman" w:cs="Times New Roman"/>
                <w:sz w:val="24"/>
                <w:szCs w:val="24"/>
                <w:lang w:val="en-GB"/>
              </w:rPr>
              <w:t xml:space="preserve"> of the specific employee</w:t>
            </w:r>
            <w:r w:rsidRPr="00C540E2">
              <w:rPr>
                <w:rFonts w:ascii="Times New Roman" w:eastAsia="Calibri" w:hAnsi="Times New Roman" w:cs="Times New Roman"/>
                <w:sz w:val="24"/>
                <w:szCs w:val="24"/>
                <w:lang w:val="en-GB"/>
              </w:rPr>
              <w:t xml:space="preserve">, </w:t>
            </w:r>
            <w:r w:rsidR="00736326" w:rsidRPr="00C540E2">
              <w:rPr>
                <w:rFonts w:ascii="Times New Roman" w:eastAsia="Calibri" w:hAnsi="Times New Roman" w:cs="Times New Roman"/>
                <w:sz w:val="24"/>
                <w:szCs w:val="24"/>
                <w:lang w:val="en-GB"/>
              </w:rPr>
              <w:t>statements</w:t>
            </w:r>
            <w:r w:rsidRPr="00C540E2">
              <w:rPr>
                <w:rFonts w:ascii="Times New Roman" w:eastAsia="Calibri" w:hAnsi="Times New Roman" w:cs="Times New Roman"/>
                <w:sz w:val="24"/>
                <w:szCs w:val="24"/>
                <w:lang w:val="en-GB"/>
              </w:rPr>
              <w:t xml:space="preserve"> on the average salary of employees in the </w:t>
            </w:r>
            <w:r w:rsidR="00736326" w:rsidRPr="00C540E2">
              <w:rPr>
                <w:rFonts w:ascii="Times New Roman" w:eastAsia="Calibri" w:hAnsi="Times New Roman" w:cs="Times New Roman"/>
                <w:sz w:val="24"/>
                <w:szCs w:val="24"/>
                <w:lang w:val="en-GB"/>
              </w:rPr>
              <w:t>respective</w:t>
            </w:r>
            <w:r w:rsidRPr="00C540E2">
              <w:rPr>
                <w:rFonts w:ascii="Times New Roman" w:eastAsia="Calibri" w:hAnsi="Times New Roman" w:cs="Times New Roman"/>
                <w:sz w:val="24"/>
                <w:szCs w:val="24"/>
                <w:lang w:val="en-GB"/>
              </w:rPr>
              <w:t xml:space="preserve"> position (or </w:t>
            </w:r>
            <w:r w:rsidR="00736326" w:rsidRPr="00C540E2">
              <w:rPr>
                <w:rFonts w:ascii="Times New Roman" w:eastAsia="Calibri" w:hAnsi="Times New Roman" w:cs="Times New Roman"/>
                <w:sz w:val="24"/>
                <w:szCs w:val="24"/>
                <w:lang w:val="en-GB"/>
              </w:rPr>
              <w:t xml:space="preserve">carrying out </w:t>
            </w:r>
            <w:r w:rsidRPr="00C540E2">
              <w:rPr>
                <w:rFonts w:ascii="Times New Roman" w:eastAsia="Calibri" w:hAnsi="Times New Roman" w:cs="Times New Roman"/>
                <w:sz w:val="24"/>
                <w:szCs w:val="24"/>
                <w:lang w:val="en-GB"/>
              </w:rPr>
              <w:t xml:space="preserve">similar functions), information about the average salary in the company (institution, organization), </w:t>
            </w:r>
            <w:r w:rsidR="00736326" w:rsidRPr="00C540E2">
              <w:rPr>
                <w:rFonts w:ascii="Times New Roman" w:eastAsia="Calibri" w:hAnsi="Times New Roman" w:cs="Times New Roman"/>
                <w:sz w:val="24"/>
                <w:szCs w:val="24"/>
                <w:lang w:val="en-GB"/>
              </w:rPr>
              <w:t xml:space="preserve">published by the </w:t>
            </w:r>
            <w:r w:rsidR="00790347" w:rsidRPr="00C540E2">
              <w:rPr>
                <w:rFonts w:ascii="Times New Roman" w:eastAsia="Calibri" w:hAnsi="Times New Roman" w:cs="Times New Roman"/>
                <w:sz w:val="24"/>
                <w:szCs w:val="24"/>
                <w:lang w:val="en-GB"/>
              </w:rPr>
              <w:t>P</w:t>
            </w:r>
            <w:r w:rsidR="00736326" w:rsidRPr="00C540E2">
              <w:rPr>
                <w:rFonts w:ascii="Times New Roman" w:eastAsia="Calibri" w:hAnsi="Times New Roman" w:cs="Times New Roman"/>
                <w:sz w:val="24"/>
                <w:szCs w:val="24"/>
                <w:lang w:val="en-GB"/>
              </w:rPr>
              <w:t xml:space="preserve">roject </w:t>
            </w:r>
            <w:r w:rsidR="00790347" w:rsidRPr="00C540E2">
              <w:rPr>
                <w:rFonts w:ascii="Times New Roman" w:eastAsia="Calibri" w:hAnsi="Times New Roman" w:cs="Times New Roman"/>
                <w:sz w:val="24"/>
                <w:szCs w:val="24"/>
                <w:lang w:val="en-GB"/>
              </w:rPr>
              <w:t>P</w:t>
            </w:r>
            <w:r w:rsidR="00736326" w:rsidRPr="00C540E2">
              <w:rPr>
                <w:rFonts w:ascii="Times New Roman" w:eastAsia="Calibri" w:hAnsi="Times New Roman" w:cs="Times New Roman"/>
                <w:sz w:val="24"/>
                <w:szCs w:val="24"/>
                <w:lang w:val="en-GB"/>
              </w:rPr>
              <w:t xml:space="preserve">romoter, </w:t>
            </w:r>
            <w:r w:rsidRPr="00C540E2">
              <w:rPr>
                <w:rFonts w:ascii="Times New Roman" w:eastAsia="Calibri" w:hAnsi="Times New Roman" w:cs="Times New Roman"/>
                <w:sz w:val="24"/>
                <w:szCs w:val="24"/>
                <w:lang w:val="en-GB"/>
              </w:rPr>
              <w:t>etc</w:t>
            </w:r>
            <w:r w:rsidR="00F92261" w:rsidRPr="00C540E2">
              <w:rPr>
                <w:rFonts w:ascii="Times New Roman" w:eastAsia="Calibri" w:hAnsi="Times New Roman" w:cs="Times New Roman"/>
                <w:sz w:val="24"/>
                <w:szCs w:val="24"/>
                <w:lang w:val="en-GB"/>
              </w:rPr>
              <w:t xml:space="preserve">.). </w:t>
            </w:r>
          </w:p>
          <w:p w14:paraId="08060AF5" w14:textId="2CB4AC91" w:rsidR="00FF7C1C" w:rsidRPr="00C540E2" w:rsidRDefault="00FF7C1C"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The application shall contain information on the number of hours (days, months) planned for each position (function) or their group for the implementation of the project and the planned average hourly (daily, monthly)</w:t>
            </w:r>
            <w:r w:rsidR="00790347" w:rsidRPr="00C540E2">
              <w:rPr>
                <w:rFonts w:ascii="Times New Roman" w:eastAsia="Calibri" w:hAnsi="Times New Roman" w:cs="Times New Roman"/>
                <w:sz w:val="24"/>
                <w:szCs w:val="24"/>
                <w:lang w:val="en-GB"/>
              </w:rPr>
              <w:t xml:space="preserve"> rate</w:t>
            </w:r>
            <w:r w:rsidRPr="00C540E2">
              <w:rPr>
                <w:rFonts w:ascii="Times New Roman" w:eastAsia="Calibri" w:hAnsi="Times New Roman" w:cs="Times New Roman"/>
                <w:sz w:val="24"/>
                <w:szCs w:val="24"/>
                <w:lang w:val="en-GB"/>
              </w:rPr>
              <w:t>, also explaining the basis and/or indicating the methodology used to calculate the planned average hourly (daily, monthly) rate and enclosing the supporting documents (if necessary).</w:t>
            </w:r>
          </w:p>
          <w:p w14:paraId="428078B8" w14:textId="25578BD9" w:rsidR="007A12F5" w:rsidRPr="00C540E2" w:rsidRDefault="00C12E9A"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US"/>
              </w:rPr>
              <w:t xml:space="preserve">Expenses for annual leave and additional days-off of employees </w:t>
            </w:r>
            <w:r w:rsidR="00FF7C1C" w:rsidRPr="00C540E2">
              <w:rPr>
                <w:rFonts w:ascii="Times New Roman" w:eastAsia="Calibri" w:hAnsi="Times New Roman" w:cs="Times New Roman"/>
                <w:sz w:val="24"/>
                <w:szCs w:val="24"/>
                <w:lang w:val="en-GB"/>
              </w:rPr>
              <w:t xml:space="preserve">implementing and administering the project </w:t>
            </w:r>
            <w:r w:rsidRPr="00C540E2">
              <w:rPr>
                <w:rFonts w:ascii="Times New Roman" w:eastAsia="Calibri" w:hAnsi="Times New Roman" w:cs="Times New Roman"/>
                <w:sz w:val="24"/>
                <w:szCs w:val="24"/>
                <w:lang w:val="en-GB"/>
              </w:rPr>
              <w:t>shall</w:t>
            </w:r>
            <w:r w:rsidR="00FF7C1C" w:rsidRPr="00C540E2">
              <w:rPr>
                <w:rFonts w:ascii="Times New Roman" w:eastAsia="Calibri" w:hAnsi="Times New Roman" w:cs="Times New Roman"/>
                <w:sz w:val="24"/>
                <w:szCs w:val="24"/>
                <w:lang w:val="en-GB"/>
              </w:rPr>
              <w:t xml:space="preserve"> be declared and paid </w:t>
            </w:r>
            <w:r w:rsidR="007F7F94" w:rsidRPr="00C540E2">
              <w:rPr>
                <w:rFonts w:ascii="Times New Roman" w:eastAsia="Calibri" w:hAnsi="Times New Roman" w:cs="Times New Roman"/>
                <w:sz w:val="24"/>
                <w:szCs w:val="24"/>
                <w:lang w:val="en-GB"/>
              </w:rPr>
              <w:t xml:space="preserve">on a </w:t>
            </w:r>
            <w:r w:rsidRPr="00C540E2">
              <w:rPr>
                <w:rFonts w:ascii="Times New Roman" w:eastAsia="Calibri" w:hAnsi="Times New Roman" w:cs="Times New Roman"/>
                <w:sz w:val="24"/>
                <w:szCs w:val="24"/>
                <w:lang w:val="en-GB"/>
              </w:rPr>
              <w:t xml:space="preserve">simplified </w:t>
            </w:r>
            <w:r w:rsidR="007F7F94" w:rsidRPr="00C540E2">
              <w:rPr>
                <w:rFonts w:ascii="Times New Roman" w:eastAsia="Calibri" w:hAnsi="Times New Roman" w:cs="Times New Roman"/>
                <w:sz w:val="24"/>
                <w:szCs w:val="24"/>
                <w:lang w:val="en-GB"/>
              </w:rPr>
              <w:t xml:space="preserve">bases </w:t>
            </w:r>
            <w:r w:rsidR="00732E97" w:rsidRPr="00C540E2">
              <w:rPr>
                <w:rFonts w:ascii="Times New Roman" w:eastAsia="Calibri" w:hAnsi="Times New Roman" w:cs="Times New Roman"/>
                <w:sz w:val="24"/>
                <w:szCs w:val="24"/>
                <w:lang w:val="en-GB"/>
              </w:rPr>
              <w:t xml:space="preserve">by applying </w:t>
            </w:r>
            <w:r w:rsidRPr="00C540E2">
              <w:rPr>
                <w:rFonts w:ascii="Times New Roman" w:eastAsia="Calibri" w:hAnsi="Times New Roman" w:cs="Times New Roman"/>
                <w:sz w:val="24"/>
                <w:szCs w:val="24"/>
                <w:lang w:val="en-GB"/>
              </w:rPr>
              <w:t xml:space="preserve">the coefficients of payments for annual </w:t>
            </w:r>
            <w:r w:rsidRPr="00C540E2">
              <w:rPr>
                <w:rFonts w:ascii="Times New Roman" w:eastAsia="Calibri" w:hAnsi="Times New Roman" w:cs="Times New Roman"/>
                <w:sz w:val="24"/>
                <w:szCs w:val="24"/>
                <w:lang w:val="en-GB"/>
              </w:rPr>
              <w:lastRenderedPageBreak/>
              <w:t xml:space="preserve">leave and additional days-off set in the Report </w:t>
            </w:r>
            <w:r w:rsidR="00732E97" w:rsidRPr="00C540E2">
              <w:rPr>
                <w:rFonts w:ascii="Times New Roman" w:eastAsia="Calibri" w:hAnsi="Times New Roman" w:cs="Times New Roman"/>
                <w:sz w:val="24"/>
                <w:szCs w:val="24"/>
                <w:lang w:val="en-GB"/>
              </w:rPr>
              <w:t xml:space="preserve">No. </w:t>
            </w:r>
            <w:r w:rsidR="00732E97" w:rsidRPr="00C540E2">
              <w:rPr>
                <w:rFonts w:ascii="Times New Roman" w:eastAsia="Times New Roman" w:hAnsi="Times New Roman" w:cs="Times New Roman"/>
                <w:sz w:val="24"/>
                <w:szCs w:val="24"/>
                <w:lang w:val="en-GB" w:eastAsia="lt-LT"/>
              </w:rPr>
              <w:t xml:space="preserve">FN-005 </w:t>
            </w:r>
            <w:r w:rsidRPr="00C540E2">
              <w:rPr>
                <w:rFonts w:ascii="Times New Roman" w:eastAsia="Calibri" w:hAnsi="Times New Roman" w:cs="Times New Roman"/>
                <w:sz w:val="24"/>
                <w:szCs w:val="24"/>
                <w:lang w:val="en-GB"/>
              </w:rPr>
              <w:t xml:space="preserve">on the Analysis on Setting </w:t>
            </w:r>
            <w:r w:rsidR="00732E97" w:rsidRPr="00C540E2">
              <w:rPr>
                <w:rFonts w:ascii="Times New Roman" w:eastAsia="Calibri" w:hAnsi="Times New Roman" w:cs="Times New Roman"/>
                <w:sz w:val="24"/>
                <w:szCs w:val="24"/>
                <w:lang w:val="en-GB"/>
              </w:rPr>
              <w:t xml:space="preserve">Flat </w:t>
            </w:r>
            <w:r w:rsidRPr="00C540E2">
              <w:rPr>
                <w:rFonts w:ascii="Times New Roman" w:eastAsia="Calibri" w:hAnsi="Times New Roman" w:cs="Times New Roman"/>
                <w:sz w:val="24"/>
                <w:szCs w:val="24"/>
                <w:lang w:val="en-GB"/>
              </w:rPr>
              <w:t>Rates of Payment of Annual Leave and Additional Days Off</w:t>
            </w:r>
            <w:r w:rsidR="008E6F80" w:rsidRPr="00C540E2">
              <w:rPr>
                <w:rFonts w:ascii="Times New Roman" w:eastAsia="Calibri" w:hAnsi="Times New Roman" w:cs="Times New Roman"/>
                <w:sz w:val="24"/>
                <w:szCs w:val="24"/>
                <w:lang w:val="en-GB"/>
              </w:rPr>
              <w:t xml:space="preserve"> </w:t>
            </w:r>
            <w:r w:rsidR="000647ED" w:rsidRPr="00C540E2">
              <w:rPr>
                <w:rFonts w:ascii="Times New Roman" w:eastAsia="Times New Roman" w:hAnsi="Times New Roman" w:cs="Times New Roman"/>
                <w:sz w:val="24"/>
                <w:szCs w:val="24"/>
                <w:lang w:val="en-GB" w:eastAsia="lt-LT"/>
              </w:rPr>
              <w:t>(</w:t>
            </w:r>
            <w:r w:rsidR="00732E97" w:rsidRPr="00C540E2">
              <w:rPr>
                <w:rFonts w:ascii="Times New Roman" w:eastAsia="Times New Roman" w:hAnsi="Times New Roman" w:cs="Times New Roman"/>
                <w:sz w:val="24"/>
                <w:szCs w:val="24"/>
                <w:lang w:val="en-GB" w:eastAsia="lt-LT"/>
              </w:rPr>
              <w:t xml:space="preserve">edition of 20 July </w:t>
            </w:r>
            <w:r w:rsidR="000647ED" w:rsidRPr="00C540E2">
              <w:rPr>
                <w:rFonts w:ascii="Times New Roman" w:eastAsia="Times New Roman" w:hAnsi="Times New Roman" w:cs="Times New Roman"/>
                <w:sz w:val="24"/>
                <w:szCs w:val="24"/>
                <w:lang w:val="en-GB" w:eastAsia="lt-LT"/>
              </w:rPr>
              <w:t xml:space="preserve">2017) </w:t>
            </w:r>
            <w:r w:rsidR="00FF7C1C" w:rsidRPr="00C540E2">
              <w:rPr>
                <w:rFonts w:ascii="Times New Roman" w:eastAsia="Calibri" w:hAnsi="Times New Roman" w:cs="Times New Roman"/>
                <w:sz w:val="24"/>
                <w:szCs w:val="24"/>
                <w:lang w:val="en-GB"/>
              </w:rPr>
              <w:t>of the Ministry of Finance of the Republic of Lithuania</w:t>
            </w:r>
            <w:r w:rsidR="00732E97" w:rsidRPr="00C540E2">
              <w:rPr>
                <w:rFonts w:ascii="Times New Roman" w:eastAsia="Calibri" w:hAnsi="Times New Roman" w:cs="Times New Roman"/>
                <w:sz w:val="24"/>
                <w:szCs w:val="24"/>
                <w:lang w:val="en-GB"/>
              </w:rPr>
              <w:t>,</w:t>
            </w:r>
            <w:r w:rsidR="008E6F80" w:rsidRPr="00C540E2">
              <w:rPr>
                <w:rFonts w:ascii="Times New Roman" w:eastAsia="Calibri" w:hAnsi="Times New Roman" w:cs="Times New Roman"/>
                <w:sz w:val="24"/>
                <w:szCs w:val="24"/>
                <w:lang w:val="en-GB"/>
              </w:rPr>
              <w:t xml:space="preserve"> </w:t>
            </w:r>
            <w:r w:rsidR="00FF7C1C" w:rsidRPr="00C540E2">
              <w:rPr>
                <w:rFonts w:ascii="Times New Roman" w:eastAsia="Calibri" w:hAnsi="Times New Roman" w:cs="Times New Roman"/>
                <w:sz w:val="24"/>
                <w:szCs w:val="24"/>
                <w:lang w:val="en-GB"/>
              </w:rPr>
              <w:t xml:space="preserve">published on the website </w:t>
            </w:r>
            <w:hyperlink r:id="rId14" w:history="1">
              <w:r w:rsidR="008E6F80" w:rsidRPr="00C540E2">
                <w:rPr>
                  <w:rStyle w:val="Hyperlink"/>
                  <w:rFonts w:ascii="Times New Roman" w:eastAsia="Calibri" w:hAnsi="Times New Roman" w:cs="Times New Roman"/>
                  <w:sz w:val="24"/>
                  <w:szCs w:val="24"/>
                  <w:lang w:val="en-GB"/>
                </w:rPr>
                <w:t>www.esinvesticijos.lt</w:t>
              </w:r>
            </w:hyperlink>
            <w:r w:rsidR="008E6F80" w:rsidRPr="00C540E2">
              <w:rPr>
                <w:rFonts w:ascii="Times New Roman" w:eastAsia="Calibri" w:hAnsi="Times New Roman" w:cs="Times New Roman"/>
                <w:sz w:val="24"/>
                <w:szCs w:val="24"/>
                <w:lang w:val="en-GB"/>
              </w:rPr>
              <w:t xml:space="preserve"> </w:t>
            </w:r>
            <w:r w:rsidR="00FF7C1C" w:rsidRPr="00C540E2">
              <w:rPr>
                <w:rFonts w:ascii="Times New Roman" w:eastAsia="Calibri" w:hAnsi="Times New Roman" w:cs="Times New Roman"/>
                <w:sz w:val="24"/>
                <w:szCs w:val="24"/>
                <w:lang w:val="en-GB"/>
              </w:rPr>
              <w:t xml:space="preserve"> (</w:t>
            </w:r>
            <w:r w:rsidR="008E6F80" w:rsidRPr="00C540E2">
              <w:rPr>
                <w:rFonts w:ascii="Times New Roman" w:eastAsia="Calibri" w:hAnsi="Times New Roman" w:cs="Times New Roman"/>
                <w:sz w:val="24"/>
                <w:szCs w:val="24"/>
                <w:lang w:val="en-GB"/>
              </w:rPr>
              <w:t>document “Analysis of Simplified Compensation of Expenses” under the section “Documents”, sub</w:t>
            </w:r>
            <w:r w:rsidR="00790347" w:rsidRPr="00C540E2">
              <w:rPr>
                <w:rFonts w:ascii="Times New Roman" w:eastAsia="Calibri" w:hAnsi="Times New Roman" w:cs="Times New Roman"/>
                <w:sz w:val="24"/>
                <w:szCs w:val="24"/>
                <w:lang w:val="en-GB"/>
              </w:rPr>
              <w:t>-</w:t>
            </w:r>
            <w:r w:rsidR="008E6F80" w:rsidRPr="00C540E2">
              <w:rPr>
                <w:rFonts w:ascii="Times New Roman" w:eastAsia="Calibri" w:hAnsi="Times New Roman" w:cs="Times New Roman"/>
                <w:sz w:val="24"/>
                <w:szCs w:val="24"/>
                <w:lang w:val="en-GB"/>
              </w:rPr>
              <w:t>section “Analyses”</w:t>
            </w:r>
            <w:r w:rsidR="00FF7C1C" w:rsidRPr="00C540E2">
              <w:rPr>
                <w:rFonts w:ascii="Times New Roman" w:eastAsia="Calibri" w:hAnsi="Times New Roman" w:cs="Times New Roman"/>
                <w:sz w:val="24"/>
                <w:szCs w:val="24"/>
                <w:lang w:val="en-GB"/>
              </w:rPr>
              <w:t>)</w:t>
            </w:r>
            <w:r w:rsidR="00063A27" w:rsidRPr="00C540E2">
              <w:rPr>
                <w:rFonts w:ascii="Times New Roman" w:eastAsia="Times New Roman" w:hAnsi="Times New Roman" w:cs="Times New Roman"/>
                <w:sz w:val="24"/>
                <w:szCs w:val="24"/>
                <w:lang w:val="en-GB" w:eastAsia="lt-LT"/>
              </w:rPr>
              <w:t>.</w:t>
            </w:r>
          </w:p>
        </w:tc>
      </w:tr>
      <w:tr w:rsidR="000647ED" w:rsidRPr="00C540E2" w14:paraId="1F2F6C71" w14:textId="77777777" w:rsidTr="00002B9F">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08C9B8" w14:textId="78BFE081" w:rsidR="000647ED" w:rsidRPr="00C540E2" w:rsidRDefault="000647ED"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C540E2">
              <w:rPr>
                <w:rFonts w:ascii="Times New Roman" w:eastAsia="Times New Roman" w:hAnsi="Times New Roman" w:cs="Times New Roman"/>
                <w:b/>
                <w:bCs/>
                <w:sz w:val="24"/>
                <w:szCs w:val="24"/>
                <w:lang w:val="en-GB" w:eastAsia="lt-LT"/>
              </w:rPr>
              <w:lastRenderedPageBreak/>
              <w:t>Indirect costs</w:t>
            </w:r>
          </w:p>
        </w:tc>
      </w:tr>
      <w:tr w:rsidR="00B60AC6" w:rsidRPr="00C540E2" w14:paraId="3877FCF7"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A52723" w14:textId="77777777" w:rsidR="00063A27" w:rsidRPr="00C540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7.</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B31F2" w14:textId="0A7375A1" w:rsidR="00063A27" w:rsidRPr="00C540E2" w:rsidRDefault="001B2B16"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Indirect costs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8CD423" w14:textId="2A9CCC5D" w:rsidR="001B2B16" w:rsidRPr="00C540E2" w:rsidRDefault="001B2B16"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Eligible indirect project costs are costs that are not directly attributable to the implementation of project activities, but are necessary for the implementation of the project and can be related to direct project costs. Indirect costs may not include any direct eligible costs. The method for determining indirect costs shall be selected (and, where appropriate, justified) at the time of drafting an application.</w:t>
            </w:r>
          </w:p>
          <w:p w14:paraId="32B2FD16" w14:textId="2429142E" w:rsidR="001B2B16" w:rsidRPr="00C540E2" w:rsidRDefault="001B2B16"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The methods for determining indirect project costs are provided for in clause 276 of the MAFR: either on the basis of actual indirect costs (subclauses 276.1 and 276.2 of the MAFR) or at a flat rate (subclauses 276.3.1, 276.3.2 and 276.3.3 of the MAFR).</w:t>
            </w:r>
          </w:p>
          <w:p w14:paraId="5FBADDAE" w14:textId="77777777" w:rsidR="00063A27" w:rsidRPr="00C540E2" w:rsidRDefault="001B2B16"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 xml:space="preserve">If </w:t>
            </w:r>
            <w:r w:rsidR="003C1D87" w:rsidRPr="00C540E2">
              <w:rPr>
                <w:rFonts w:ascii="Times New Roman" w:eastAsia="Calibri" w:hAnsi="Times New Roman" w:cs="Times New Roman"/>
                <w:sz w:val="24"/>
                <w:szCs w:val="24"/>
                <w:lang w:val="en-GB"/>
              </w:rPr>
              <w:t xml:space="preserve">the method provided for in subclause </w:t>
            </w:r>
            <w:r w:rsidR="003C1D87" w:rsidRPr="00C540E2">
              <w:rPr>
                <w:rFonts w:ascii="Times New Roman" w:eastAsia="Times New Roman" w:hAnsi="Times New Roman" w:cs="Times New Roman"/>
                <w:sz w:val="24"/>
                <w:szCs w:val="24"/>
                <w:lang w:val="en-GB" w:eastAsia="lt-LT"/>
              </w:rPr>
              <w:t xml:space="preserve">276.3.1. of the MAFR is selected </w:t>
            </w:r>
            <w:r w:rsidRPr="00C540E2">
              <w:rPr>
                <w:rFonts w:ascii="Times New Roman" w:eastAsia="Calibri" w:hAnsi="Times New Roman" w:cs="Times New Roman"/>
                <w:sz w:val="24"/>
                <w:szCs w:val="24"/>
                <w:lang w:val="en-GB"/>
              </w:rPr>
              <w:t>to determine indirect costs of the project, indirect</w:t>
            </w:r>
            <w:r w:rsidR="003C1D87" w:rsidRPr="00C540E2">
              <w:rPr>
                <w:rFonts w:ascii="Times New Roman" w:eastAsia="Calibri" w:hAnsi="Times New Roman" w:cs="Times New Roman"/>
                <w:sz w:val="24"/>
                <w:szCs w:val="24"/>
                <w:lang w:val="en-GB"/>
              </w:rPr>
              <w:t xml:space="preserve"> project</w:t>
            </w:r>
            <w:r w:rsidRPr="00C540E2">
              <w:rPr>
                <w:rFonts w:ascii="Times New Roman" w:eastAsia="Calibri" w:hAnsi="Times New Roman" w:cs="Times New Roman"/>
                <w:sz w:val="24"/>
                <w:szCs w:val="24"/>
                <w:lang w:val="en-GB"/>
              </w:rPr>
              <w:t xml:space="preserve"> costs </w:t>
            </w:r>
            <w:r w:rsidR="003C1D87" w:rsidRPr="00C540E2">
              <w:rPr>
                <w:rFonts w:ascii="Times New Roman" w:eastAsia="Calibri" w:hAnsi="Times New Roman" w:cs="Times New Roman"/>
                <w:sz w:val="24"/>
                <w:szCs w:val="24"/>
                <w:lang w:val="en-GB"/>
              </w:rPr>
              <w:t>shall</w:t>
            </w:r>
            <w:r w:rsidRPr="00C540E2">
              <w:rPr>
                <w:rFonts w:ascii="Times New Roman" w:eastAsia="Calibri" w:hAnsi="Times New Roman" w:cs="Times New Roman"/>
                <w:sz w:val="24"/>
                <w:szCs w:val="24"/>
                <w:lang w:val="en-GB"/>
              </w:rPr>
              <w:t xml:space="preserve"> be justified in accordance with </w:t>
            </w:r>
            <w:r w:rsidR="006C07EE" w:rsidRPr="00C540E2">
              <w:rPr>
                <w:rFonts w:ascii="Times New Roman" w:eastAsia="Calibri" w:hAnsi="Times New Roman" w:cs="Times New Roman"/>
                <w:sz w:val="24"/>
                <w:szCs w:val="24"/>
                <w:lang w:val="en-GB"/>
              </w:rPr>
              <w:t>provisions of the</w:t>
            </w:r>
            <w:r w:rsidRPr="00C540E2">
              <w:rPr>
                <w:rFonts w:ascii="Times New Roman" w:eastAsia="Calibri" w:hAnsi="Times New Roman" w:cs="Times New Roman"/>
                <w:sz w:val="24"/>
                <w:szCs w:val="24"/>
                <w:lang w:val="en-GB"/>
              </w:rPr>
              <w:t xml:space="preserve"> "Methodology for Determining and Applying a Flat Rate for Indirect Costs</w:t>
            </w:r>
            <w:r w:rsidR="006C07EE"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approved by the CPMA and published</w:t>
            </w:r>
            <w:r w:rsidR="006C07EE" w:rsidRPr="00C540E2">
              <w:rPr>
                <w:rFonts w:ascii="Times New Roman" w:eastAsia="Calibri" w:hAnsi="Times New Roman" w:cs="Times New Roman"/>
                <w:sz w:val="24"/>
                <w:szCs w:val="24"/>
                <w:lang w:val="en-GB"/>
              </w:rPr>
              <w:t xml:space="preserve"> online</w:t>
            </w:r>
            <w:r w:rsidRPr="00C540E2">
              <w:rPr>
                <w:rFonts w:ascii="Times New Roman" w:eastAsia="Calibri" w:hAnsi="Times New Roman" w:cs="Times New Roman"/>
                <w:sz w:val="24"/>
                <w:szCs w:val="24"/>
                <w:lang w:val="en-GB"/>
              </w:rPr>
              <w:t xml:space="preserve"> at </w:t>
            </w:r>
            <w:hyperlink r:id="rId15" w:history="1">
              <w:r w:rsidR="006C07EE" w:rsidRPr="00C540E2">
                <w:rPr>
                  <w:rStyle w:val="Hyperlink"/>
                  <w:rFonts w:ascii="Times New Roman" w:eastAsia="Calibri" w:hAnsi="Times New Roman" w:cs="Times New Roman"/>
                  <w:sz w:val="24"/>
                  <w:szCs w:val="24"/>
                  <w:lang w:val="en-GB"/>
                </w:rPr>
                <w:t>www.cpva.lt</w:t>
              </w:r>
            </w:hyperlink>
            <w:r w:rsidR="006C07EE" w:rsidRPr="00C540E2">
              <w:rPr>
                <w:rFonts w:ascii="Times New Roman" w:eastAsia="Calibri" w:hAnsi="Times New Roman" w:cs="Times New Roman"/>
                <w:sz w:val="24"/>
                <w:szCs w:val="24"/>
                <w:lang w:val="en-GB"/>
              </w:rPr>
              <w:t xml:space="preserve"> </w:t>
            </w:r>
            <w:r w:rsidRPr="00C540E2">
              <w:rPr>
                <w:rFonts w:ascii="Times New Roman" w:eastAsia="Calibri" w:hAnsi="Times New Roman" w:cs="Times New Roman"/>
                <w:sz w:val="24"/>
                <w:szCs w:val="24"/>
                <w:lang w:val="en-GB"/>
              </w:rPr>
              <w:t>(current edition</w:t>
            </w:r>
            <w:r w:rsidR="006C07EE" w:rsidRPr="00C540E2">
              <w:rPr>
                <w:rFonts w:ascii="Times New Roman" w:eastAsia="Calibri" w:hAnsi="Times New Roman" w:cs="Times New Roman"/>
                <w:sz w:val="24"/>
                <w:szCs w:val="24"/>
                <w:lang w:val="en-GB"/>
              </w:rPr>
              <w:t xml:space="preserve">: </w:t>
            </w:r>
            <w:r w:rsidR="007B3410" w:rsidRPr="00C540E2">
              <w:rPr>
                <w:rFonts w:ascii="Times New Roman" w:eastAsia="Times New Roman" w:hAnsi="Times New Roman" w:cs="Times New Roman"/>
                <w:sz w:val="24"/>
                <w:szCs w:val="24"/>
                <w:lang w:val="en-GB" w:eastAsia="lt-LT"/>
              </w:rPr>
              <w:t xml:space="preserve"> </w:t>
            </w:r>
            <w:hyperlink r:id="rId16" w:history="1">
              <w:r w:rsidR="007679FE" w:rsidRPr="00C540E2">
                <w:rPr>
                  <w:rStyle w:val="Hyperlink"/>
                  <w:rFonts w:ascii="Times New Roman" w:eastAsia="Times New Roman" w:hAnsi="Times New Roman" w:cs="Times New Roman"/>
                  <w:color w:val="auto"/>
                  <w:sz w:val="24"/>
                  <w:szCs w:val="24"/>
                  <w:lang w:val="en-GB" w:eastAsia="lt-LT"/>
                </w:rPr>
                <w:t>https://www.cpva.lt/eee-ir-norvegijos-finansiniai-mechanizmai-2014-2021-m./dokumentai/682/act719?sqid=994b3627fada2d63b94793688db3b709c08413e2</w:t>
              </w:r>
            </w:hyperlink>
            <w:r w:rsidR="00063A27" w:rsidRPr="00C540E2">
              <w:rPr>
                <w:rFonts w:ascii="Times New Roman" w:eastAsia="Times New Roman" w:hAnsi="Times New Roman" w:cs="Times New Roman"/>
                <w:sz w:val="24"/>
                <w:szCs w:val="24"/>
                <w:lang w:val="en-GB" w:eastAsia="lt-LT"/>
              </w:rPr>
              <w:t>)</w:t>
            </w:r>
            <w:r w:rsidR="006774F8" w:rsidRPr="00C540E2">
              <w:rPr>
                <w:rFonts w:ascii="Times New Roman" w:eastAsia="Times New Roman" w:hAnsi="Times New Roman" w:cs="Times New Roman"/>
                <w:sz w:val="24"/>
                <w:szCs w:val="24"/>
                <w:lang w:val="en-GB" w:eastAsia="lt-LT"/>
              </w:rPr>
              <w:t>.</w:t>
            </w:r>
          </w:p>
          <w:p w14:paraId="56273062" w14:textId="5871082D" w:rsidR="000647ED" w:rsidRPr="00C540E2" w:rsidRDefault="000647ED"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xml:space="preserve">Examples of indirect costs </w:t>
            </w:r>
            <w:r w:rsidR="00732E97" w:rsidRPr="00C540E2">
              <w:rPr>
                <w:rFonts w:ascii="Times New Roman" w:eastAsia="Times New Roman" w:hAnsi="Times New Roman" w:cs="Times New Roman"/>
                <w:sz w:val="24"/>
                <w:szCs w:val="24"/>
                <w:lang w:val="en-GB" w:eastAsia="lt-LT"/>
              </w:rPr>
              <w:t>are</w:t>
            </w:r>
            <w:r w:rsidRPr="00C540E2">
              <w:rPr>
                <w:rFonts w:ascii="Times New Roman" w:eastAsia="Times New Roman" w:hAnsi="Times New Roman" w:cs="Times New Roman"/>
                <w:sz w:val="24"/>
                <w:szCs w:val="24"/>
                <w:lang w:val="en-GB" w:eastAsia="lt-LT"/>
              </w:rPr>
              <w:t xml:space="preserve"> the </w:t>
            </w:r>
            <w:r w:rsidR="00732E97" w:rsidRPr="00C540E2">
              <w:rPr>
                <w:rFonts w:ascii="Times New Roman" w:eastAsia="Times New Roman" w:hAnsi="Times New Roman" w:cs="Times New Roman"/>
                <w:sz w:val="24"/>
                <w:szCs w:val="24"/>
                <w:lang w:val="en-GB" w:eastAsia="lt-LT"/>
              </w:rPr>
              <w:t>general</w:t>
            </w:r>
            <w:r w:rsidRPr="00C540E2">
              <w:rPr>
                <w:rFonts w:ascii="Times New Roman" w:eastAsia="Times New Roman" w:hAnsi="Times New Roman" w:cs="Times New Roman"/>
                <w:sz w:val="24"/>
                <w:szCs w:val="24"/>
                <w:lang w:val="en-GB" w:eastAsia="lt-LT"/>
              </w:rPr>
              <w:t xml:space="preserve"> costs of the organization for infrastructure (such as electricity, natural gas, heating, water, cleaning, security, room maintenance, communications, etc.), small office equipment and office supplies, and horizontal activities of the organization such as administrative and financial management, human resources, training, legal advice, etc., as part of the project implementation.</w:t>
            </w:r>
          </w:p>
        </w:tc>
      </w:tr>
    </w:tbl>
    <w:p w14:paraId="0CC7E9C9" w14:textId="77777777" w:rsidR="00063A27" w:rsidRPr="00C540E2" w:rsidRDefault="00063A27" w:rsidP="00C540E2">
      <w:pPr>
        <w:spacing w:after="120" w:line="240" w:lineRule="auto"/>
        <w:rPr>
          <w:rFonts w:ascii="Times New Roman" w:eastAsia="Times New Roman" w:hAnsi="Times New Roman" w:cs="Times New Roman"/>
          <w:sz w:val="24"/>
          <w:szCs w:val="24"/>
          <w:lang w:val="en-GB" w:eastAsia="lt-LT"/>
        </w:rPr>
      </w:pPr>
      <w:r w:rsidRPr="00C540E2">
        <w:rPr>
          <w:rFonts w:ascii="Times New Roman" w:eastAsia="Times New Roman" w:hAnsi="Times New Roman" w:cs="Times New Roman"/>
          <w:sz w:val="24"/>
          <w:szCs w:val="24"/>
          <w:lang w:val="en-GB" w:eastAsia="lt-LT"/>
        </w:rPr>
        <w:t> </w:t>
      </w:r>
    </w:p>
    <w:p w14:paraId="7153FBA9" w14:textId="4835B567" w:rsidR="00B6310B" w:rsidRPr="00C540E2" w:rsidRDefault="00B6310B" w:rsidP="00C540E2">
      <w:pPr>
        <w:pStyle w:val="ListParagraph"/>
        <w:numPr>
          <w:ilvl w:val="0"/>
          <w:numId w:val="12"/>
        </w:numPr>
        <w:tabs>
          <w:tab w:val="left" w:pos="851"/>
          <w:tab w:val="left" w:pos="993"/>
          <w:tab w:val="left" w:pos="1134"/>
        </w:tabs>
        <w:spacing w:after="120" w:line="240" w:lineRule="auto"/>
        <w:jc w:val="both"/>
        <w:rPr>
          <w:rFonts w:ascii="Times New Roman" w:eastAsia="Calibri" w:hAnsi="Times New Roman" w:cs="Times New Roman"/>
          <w:sz w:val="24"/>
          <w:szCs w:val="24"/>
        </w:rPr>
      </w:pPr>
      <w:r w:rsidRPr="00C540E2">
        <w:rPr>
          <w:rFonts w:ascii="Times New Roman" w:eastAsia="Calibri" w:hAnsi="Times New Roman" w:cs="Times New Roman"/>
          <w:sz w:val="24"/>
          <w:szCs w:val="24"/>
        </w:rPr>
        <w:t>The flat rates applied during the implementation of the project shall not be changed, unless the coordinating authority, audit authority or other auditing authorities or, in the case of simplified costing methodologies for European Union Structural Funds projects, the European Union Structural Funds Managing Authority or audit authority determines that: the amount of the simplified reimbursement or the conditions for its application were incorrectly determined (in cases where the amount should have been lower or otherwise applied), the adjusted amount or the conditions for its application shall apply to the simplified reimbursement costs incurred from the date of entry into force of the simplification pay).</w:t>
      </w:r>
    </w:p>
    <w:p w14:paraId="5F0F73F3" w14:textId="37CC5C9B" w:rsidR="000647ED" w:rsidRPr="00C540E2" w:rsidRDefault="000647ED"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 xml:space="preserve">Costs that are </w:t>
      </w:r>
      <w:r w:rsidRPr="00C540E2">
        <w:rPr>
          <w:rFonts w:ascii="Times New Roman" w:eastAsia="Times New Roman" w:hAnsi="Times New Roman" w:cs="Times New Roman"/>
          <w:sz w:val="24"/>
          <w:szCs w:val="24"/>
          <w:lang w:val="en-GB" w:eastAsia="lt-LT"/>
        </w:rPr>
        <w:t>necessary for the administration of the project</w:t>
      </w:r>
      <w:r w:rsidR="00667EF9" w:rsidRPr="00C540E2">
        <w:rPr>
          <w:rFonts w:ascii="Times New Roman" w:eastAsia="Times New Roman" w:hAnsi="Times New Roman" w:cs="Times New Roman"/>
          <w:sz w:val="24"/>
          <w:szCs w:val="24"/>
          <w:lang w:val="en-GB" w:eastAsia="lt-LT"/>
        </w:rPr>
        <w:t xml:space="preserve"> </w:t>
      </w:r>
      <w:r w:rsidR="00667EF9" w:rsidRPr="00C540E2">
        <w:rPr>
          <w:rFonts w:ascii="Times New Roman" w:eastAsia="Calibri" w:hAnsi="Times New Roman" w:cs="Times New Roman"/>
          <w:sz w:val="24"/>
          <w:szCs w:val="24"/>
          <w:lang w:val="en-GB"/>
        </w:rPr>
        <w:t xml:space="preserve">indicated in the </w:t>
      </w:r>
      <w:r w:rsidR="00A87796" w:rsidRPr="00C540E2">
        <w:rPr>
          <w:rFonts w:ascii="Times New Roman" w:eastAsia="Calibri" w:hAnsi="Times New Roman" w:cs="Times New Roman"/>
          <w:sz w:val="24"/>
          <w:szCs w:val="24"/>
          <w:lang w:val="en-GB"/>
        </w:rPr>
        <w:t>paragraph 39</w:t>
      </w:r>
      <w:r w:rsidR="00667EF9" w:rsidRPr="00C540E2">
        <w:rPr>
          <w:rFonts w:ascii="Times New Roman" w:eastAsia="Calibri" w:hAnsi="Times New Roman" w:cs="Times New Roman"/>
          <w:sz w:val="24"/>
          <w:szCs w:val="24"/>
          <w:lang w:val="en-GB"/>
        </w:rPr>
        <w:t xml:space="preserve"> under headings 3 to 6</w:t>
      </w:r>
      <w:r w:rsidRPr="00C540E2">
        <w:rPr>
          <w:rFonts w:ascii="Times New Roman" w:eastAsia="Times New Roman" w:hAnsi="Times New Roman" w:cs="Times New Roman"/>
          <w:sz w:val="24"/>
          <w:szCs w:val="24"/>
          <w:lang w:val="en-GB" w:eastAsia="lt-LT"/>
        </w:rPr>
        <w:t xml:space="preserve">, e.g. salary expenses of Project Promoter’s or Partner’s employees for time spent working on project administration, purchase of goods for project administration purposes, costs of project administration services, costs of inspection (auditing) of expenses of partners from Donor </w:t>
      </w:r>
      <w:r w:rsidRPr="00C540E2">
        <w:rPr>
          <w:rFonts w:ascii="Times New Roman" w:eastAsia="Times New Roman" w:hAnsi="Times New Roman" w:cs="Times New Roman"/>
          <w:sz w:val="24"/>
          <w:szCs w:val="24"/>
          <w:lang w:val="en-GB" w:eastAsia="lt-LT"/>
        </w:rPr>
        <w:lastRenderedPageBreak/>
        <w:t>States (where applicable), other project-administration related costs. Project administration costs may not exceed 10% of eligible project costs.</w:t>
      </w:r>
    </w:p>
    <w:p w14:paraId="3E34623F" w14:textId="5BBC140B" w:rsidR="00667EF9" w:rsidRPr="00C540E2" w:rsidRDefault="000647ED"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 xml:space="preserve">The </w:t>
      </w:r>
      <w:r w:rsidR="00667EF9" w:rsidRPr="00C540E2">
        <w:rPr>
          <w:rFonts w:ascii="Times New Roman" w:eastAsia="Calibri" w:hAnsi="Times New Roman" w:cs="Times New Roman"/>
          <w:sz w:val="24"/>
          <w:szCs w:val="24"/>
          <w:lang w:val="en-GB"/>
        </w:rPr>
        <w:t>publicity</w:t>
      </w:r>
      <w:r w:rsidRPr="00C540E2">
        <w:rPr>
          <w:rFonts w:ascii="Times New Roman" w:eastAsia="Calibri" w:hAnsi="Times New Roman" w:cs="Times New Roman"/>
          <w:sz w:val="24"/>
          <w:szCs w:val="24"/>
          <w:lang w:val="en-GB"/>
        </w:rPr>
        <w:t xml:space="preserve"> costs of the project </w:t>
      </w:r>
      <w:r w:rsidR="00667EF9" w:rsidRPr="00C540E2">
        <w:rPr>
          <w:rFonts w:ascii="Times New Roman" w:eastAsia="Calibri" w:hAnsi="Times New Roman" w:cs="Times New Roman"/>
          <w:sz w:val="24"/>
          <w:szCs w:val="24"/>
          <w:lang w:val="en-GB"/>
        </w:rPr>
        <w:t>indicated</w:t>
      </w:r>
      <w:r w:rsidRPr="00C540E2">
        <w:rPr>
          <w:rFonts w:ascii="Times New Roman" w:eastAsia="Calibri" w:hAnsi="Times New Roman" w:cs="Times New Roman"/>
          <w:sz w:val="24"/>
          <w:szCs w:val="24"/>
          <w:lang w:val="en-GB"/>
        </w:rPr>
        <w:t xml:space="preserve"> in </w:t>
      </w:r>
      <w:r w:rsidR="00667EF9" w:rsidRPr="00C540E2">
        <w:rPr>
          <w:rFonts w:ascii="Times New Roman" w:eastAsia="Calibri" w:hAnsi="Times New Roman" w:cs="Times New Roman"/>
          <w:sz w:val="24"/>
          <w:szCs w:val="24"/>
          <w:lang w:val="en-GB"/>
        </w:rPr>
        <w:t xml:space="preserve">the </w:t>
      </w:r>
      <w:r w:rsidR="00A87796" w:rsidRPr="00C540E2">
        <w:rPr>
          <w:rFonts w:ascii="Times New Roman" w:eastAsia="Calibri" w:hAnsi="Times New Roman" w:cs="Times New Roman"/>
          <w:sz w:val="24"/>
          <w:szCs w:val="24"/>
          <w:lang w:val="en-GB"/>
        </w:rPr>
        <w:t>paragraph 39</w:t>
      </w:r>
      <w:r w:rsidRPr="00C540E2">
        <w:rPr>
          <w:rFonts w:ascii="Times New Roman" w:eastAsia="Calibri" w:hAnsi="Times New Roman" w:cs="Times New Roman"/>
          <w:sz w:val="24"/>
          <w:szCs w:val="24"/>
          <w:lang w:val="en-GB"/>
        </w:rPr>
        <w:t xml:space="preserve"> under headings 3 to 6 shall be considered as direct costs of the project and shall be eligible for financing </w:t>
      </w:r>
      <w:r w:rsidR="00FC6370" w:rsidRPr="00C540E2">
        <w:rPr>
          <w:rFonts w:ascii="Times New Roman" w:eastAsia="Calibri" w:hAnsi="Times New Roman" w:cs="Times New Roman"/>
          <w:sz w:val="24"/>
          <w:szCs w:val="24"/>
          <w:lang w:val="en-GB"/>
        </w:rPr>
        <w:t xml:space="preserve">when incurred in the course of communication actions of the project as foreseen in the clauses 260-264 of the </w:t>
      </w:r>
      <w:r w:rsidRPr="00C540E2">
        <w:rPr>
          <w:rFonts w:ascii="Times New Roman" w:eastAsia="Calibri" w:hAnsi="Times New Roman" w:cs="Times New Roman"/>
          <w:sz w:val="24"/>
          <w:szCs w:val="24"/>
          <w:lang w:val="en-GB"/>
        </w:rPr>
        <w:t>MAF</w:t>
      </w:r>
      <w:r w:rsidR="00FC6370" w:rsidRPr="00C540E2">
        <w:rPr>
          <w:rFonts w:ascii="Times New Roman" w:eastAsia="Calibri" w:hAnsi="Times New Roman" w:cs="Times New Roman"/>
          <w:sz w:val="24"/>
          <w:szCs w:val="24"/>
          <w:lang w:val="en-GB"/>
        </w:rPr>
        <w:t>R.</w:t>
      </w:r>
      <w:r w:rsidRPr="00C540E2">
        <w:rPr>
          <w:rFonts w:ascii="Times New Roman" w:eastAsia="Calibri" w:hAnsi="Times New Roman" w:cs="Times New Roman"/>
          <w:sz w:val="24"/>
          <w:szCs w:val="24"/>
          <w:lang w:val="en-GB"/>
        </w:rPr>
        <w:t xml:space="preserve"> </w:t>
      </w:r>
    </w:p>
    <w:p w14:paraId="4E404FA5" w14:textId="337C2F6E" w:rsidR="00D75EDF" w:rsidRPr="00C540E2" w:rsidRDefault="00D75EDF"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C540E2">
        <w:rPr>
          <w:rFonts w:ascii="Times New Roman" w:eastAsia="Calibri" w:hAnsi="Times New Roman" w:cs="Times New Roman"/>
          <w:sz w:val="24"/>
          <w:szCs w:val="24"/>
          <w:lang w:val="en-GB"/>
        </w:rPr>
        <w:t xml:space="preserve">Value added tax (VAT), which the </w:t>
      </w:r>
      <w:r w:rsidR="0017538A"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pplicant (</w:t>
      </w:r>
      <w:r w:rsidR="0017538A" w:rsidRPr="00C540E2">
        <w:rPr>
          <w:rFonts w:ascii="Times New Roman" w:eastAsia="Calibri" w:hAnsi="Times New Roman" w:cs="Times New Roman"/>
          <w:sz w:val="24"/>
          <w:szCs w:val="24"/>
          <w:lang w:val="en-GB"/>
        </w:rPr>
        <w:t>the P</w:t>
      </w:r>
      <w:r w:rsidRPr="00C540E2">
        <w:rPr>
          <w:rFonts w:ascii="Times New Roman" w:eastAsia="Calibri" w:hAnsi="Times New Roman" w:cs="Times New Roman"/>
          <w:sz w:val="24"/>
          <w:szCs w:val="24"/>
          <w:lang w:val="en-GB"/>
        </w:rPr>
        <w:t xml:space="preserve">roject </w:t>
      </w:r>
      <w:r w:rsidR="0017538A"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 and / or </w:t>
      </w:r>
      <w:r w:rsidR="0017538A"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 xml:space="preserve"> </w:t>
      </w:r>
      <w:r w:rsidR="0017538A"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artner will not or could not deduct and recover according to legislation, shall be eligible for financing from mechanism and co-financing funds.</w:t>
      </w:r>
    </w:p>
    <w:p w14:paraId="143C3A6C" w14:textId="554A6CE8" w:rsidR="00D75EDF" w:rsidRPr="00C540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In all cases, ineligible costs are defined in Section III of Chapter XIX of the MAFR.</w:t>
      </w:r>
    </w:p>
    <w:p w14:paraId="6599EDAA" w14:textId="7075CC09" w:rsidR="00D75EDF" w:rsidRPr="00C540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Project costs shall be compensated upon the </w:t>
      </w:r>
      <w:r w:rsidR="00171573"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171573"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romoter’s submission of a payment request in application of the method of cost compensation with or without an advance payment, and / or the payment of invoices. The procedure and method (-s) of payment of </w:t>
      </w:r>
      <w:r w:rsidR="00596BED" w:rsidRPr="00C540E2">
        <w:rPr>
          <w:rFonts w:ascii="Times New Roman" w:eastAsia="Calibri" w:hAnsi="Times New Roman" w:cs="Times New Roman"/>
          <w:sz w:val="24"/>
          <w:szCs w:val="24"/>
          <w:lang w:val="en-GB"/>
        </w:rPr>
        <w:t>costs</w:t>
      </w:r>
      <w:r w:rsidRPr="00C540E2">
        <w:rPr>
          <w:rFonts w:ascii="Times New Roman" w:eastAsia="Calibri" w:hAnsi="Times New Roman" w:cs="Times New Roman"/>
          <w:sz w:val="24"/>
          <w:szCs w:val="24"/>
          <w:lang w:val="en-GB"/>
        </w:rPr>
        <w:t xml:space="preserve"> shall be set out in the project </w:t>
      </w:r>
      <w:r w:rsidR="0081545D" w:rsidRPr="00C540E2">
        <w:rPr>
          <w:rFonts w:ascii="Times New Roman" w:eastAsia="Calibri" w:hAnsi="Times New Roman" w:cs="Times New Roman"/>
          <w:sz w:val="24"/>
          <w:szCs w:val="24"/>
          <w:lang w:val="en-GB"/>
        </w:rPr>
        <w:t>contract</w:t>
      </w:r>
      <w:r w:rsidRPr="00C540E2">
        <w:rPr>
          <w:rFonts w:ascii="Times New Roman" w:eastAsia="Calibri" w:hAnsi="Times New Roman" w:cs="Times New Roman"/>
          <w:sz w:val="24"/>
          <w:szCs w:val="24"/>
          <w:lang w:val="en-GB"/>
        </w:rPr>
        <w:t>.</w:t>
      </w:r>
    </w:p>
    <w:p w14:paraId="10FEDE22" w14:textId="424C1CE1" w:rsidR="00063A27" w:rsidRPr="00C540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In the course of the implementation of the project, </w:t>
      </w:r>
      <w:r w:rsidR="001A1948" w:rsidRPr="00C540E2">
        <w:rPr>
          <w:rFonts w:ascii="Times New Roman" w:eastAsia="Calibri" w:hAnsi="Times New Roman" w:cs="Times New Roman"/>
          <w:sz w:val="24"/>
          <w:szCs w:val="24"/>
          <w:lang w:val="en-GB"/>
        </w:rPr>
        <w:t xml:space="preserve">the Project Promoter has a possibility to request an advance payment not exceeding </w:t>
      </w:r>
      <w:r w:rsidRPr="00C540E2">
        <w:rPr>
          <w:rFonts w:ascii="Times New Roman" w:eastAsia="Calibri" w:hAnsi="Times New Roman" w:cs="Times New Roman"/>
          <w:sz w:val="24"/>
          <w:szCs w:val="24"/>
          <w:lang w:val="en-GB"/>
        </w:rPr>
        <w:t xml:space="preserve">30% of </w:t>
      </w:r>
      <w:r w:rsidR="001A1948" w:rsidRPr="00C540E2">
        <w:rPr>
          <w:rFonts w:ascii="Times New Roman" w:eastAsia="Calibri" w:hAnsi="Times New Roman" w:cs="Times New Roman"/>
          <w:sz w:val="24"/>
          <w:szCs w:val="24"/>
          <w:lang w:val="en-GB"/>
        </w:rPr>
        <w:t>the total grant amount</w:t>
      </w:r>
      <w:r w:rsidRPr="00C540E2">
        <w:rPr>
          <w:rFonts w:ascii="Times New Roman" w:eastAsia="Calibri" w:hAnsi="Times New Roman" w:cs="Times New Roman"/>
          <w:sz w:val="24"/>
          <w:szCs w:val="24"/>
          <w:lang w:val="en-GB"/>
        </w:rPr>
        <w:t xml:space="preserve"> (</w:t>
      </w:r>
      <w:r w:rsidR="0009436A" w:rsidRPr="00C540E2">
        <w:rPr>
          <w:rFonts w:ascii="Times New Roman" w:eastAsia="Calibri" w:hAnsi="Times New Roman" w:cs="Times New Roman"/>
          <w:sz w:val="24"/>
          <w:szCs w:val="24"/>
          <w:lang w:val="en-GB"/>
        </w:rPr>
        <w:t xml:space="preserve">if the payment of an advance has been provided for in </w:t>
      </w:r>
      <w:r w:rsidRPr="00C540E2">
        <w:rPr>
          <w:rFonts w:ascii="Times New Roman" w:eastAsia="Calibri" w:hAnsi="Times New Roman" w:cs="Times New Roman"/>
          <w:sz w:val="24"/>
          <w:szCs w:val="24"/>
          <w:lang w:val="en-GB"/>
        </w:rPr>
        <w:t xml:space="preserve">the project </w:t>
      </w:r>
      <w:r w:rsidR="0081545D" w:rsidRPr="00C540E2">
        <w:rPr>
          <w:rFonts w:ascii="Times New Roman" w:eastAsia="Calibri" w:hAnsi="Times New Roman" w:cs="Times New Roman"/>
          <w:sz w:val="24"/>
          <w:szCs w:val="24"/>
          <w:lang w:val="en-GB"/>
        </w:rPr>
        <w:t>contract</w:t>
      </w:r>
      <w:r w:rsidRPr="00C540E2">
        <w:rPr>
          <w:rFonts w:ascii="Times New Roman" w:eastAsia="Calibri" w:hAnsi="Times New Roman" w:cs="Times New Roman"/>
          <w:sz w:val="24"/>
          <w:szCs w:val="24"/>
          <w:lang w:val="en-GB"/>
        </w:rPr>
        <w:t xml:space="preserve">), </w:t>
      </w:r>
      <w:r w:rsidR="0009436A" w:rsidRPr="00C540E2">
        <w:rPr>
          <w:rFonts w:ascii="Times New Roman" w:eastAsia="Calibri" w:hAnsi="Times New Roman" w:cs="Times New Roman"/>
          <w:sz w:val="24"/>
          <w:szCs w:val="24"/>
          <w:lang w:val="en-GB"/>
        </w:rPr>
        <w:t xml:space="preserve">which shall later be registered after the recognition of declared expenses as </w:t>
      </w:r>
      <w:r w:rsidRPr="00C540E2">
        <w:rPr>
          <w:rFonts w:ascii="Times New Roman" w:eastAsia="Calibri" w:hAnsi="Times New Roman" w:cs="Times New Roman"/>
          <w:sz w:val="24"/>
          <w:szCs w:val="24"/>
          <w:lang w:val="en-GB"/>
        </w:rPr>
        <w:t xml:space="preserve">eligible costs in accordance with </w:t>
      </w:r>
      <w:r w:rsidR="0009436A" w:rsidRPr="00C540E2">
        <w:rPr>
          <w:rFonts w:ascii="Times New Roman" w:eastAsia="Calibri" w:hAnsi="Times New Roman" w:cs="Times New Roman"/>
          <w:sz w:val="24"/>
          <w:szCs w:val="24"/>
          <w:lang w:val="en-GB"/>
        </w:rPr>
        <w:t>the provisions of clause</w:t>
      </w:r>
      <w:r w:rsidRPr="00C540E2">
        <w:rPr>
          <w:rFonts w:ascii="Times New Roman" w:eastAsia="Calibri" w:hAnsi="Times New Roman" w:cs="Times New Roman"/>
          <w:sz w:val="24"/>
          <w:szCs w:val="24"/>
          <w:lang w:val="en-GB"/>
        </w:rPr>
        <w:t xml:space="preserve"> 300 of the MAF</w:t>
      </w:r>
      <w:r w:rsidR="00A01A8F" w:rsidRPr="00C540E2">
        <w:rPr>
          <w:rFonts w:ascii="Times New Roman" w:eastAsia="Calibri" w:hAnsi="Times New Roman" w:cs="Times New Roman"/>
          <w:sz w:val="24"/>
          <w:szCs w:val="24"/>
          <w:lang w:val="en-GB"/>
        </w:rPr>
        <w:t>R</w:t>
      </w:r>
      <w:r w:rsidRPr="00C540E2">
        <w:rPr>
          <w:rFonts w:ascii="Times New Roman" w:eastAsia="Calibri" w:hAnsi="Times New Roman" w:cs="Times New Roman"/>
          <w:sz w:val="24"/>
          <w:szCs w:val="24"/>
          <w:lang w:val="en-GB"/>
        </w:rPr>
        <w:t xml:space="preserve">. </w:t>
      </w:r>
      <w:r w:rsidR="00A01A8F" w:rsidRPr="00C540E2">
        <w:rPr>
          <w:rFonts w:ascii="Times New Roman" w:eastAsia="Calibri" w:hAnsi="Times New Roman" w:cs="Times New Roman"/>
          <w:sz w:val="24"/>
          <w:szCs w:val="24"/>
          <w:lang w:val="en-GB"/>
        </w:rPr>
        <w:t xml:space="preserve">An advance </w:t>
      </w:r>
      <w:r w:rsidR="00596BED" w:rsidRPr="00C540E2">
        <w:rPr>
          <w:rFonts w:ascii="Times New Roman" w:eastAsia="Calibri" w:hAnsi="Times New Roman" w:cs="Times New Roman"/>
          <w:sz w:val="24"/>
          <w:szCs w:val="24"/>
          <w:lang w:val="en-GB"/>
        </w:rPr>
        <w:t>assurance</w:t>
      </w:r>
      <w:r w:rsidR="00A01A8F" w:rsidRPr="00C540E2">
        <w:rPr>
          <w:rFonts w:ascii="Times New Roman" w:eastAsia="Calibri" w:hAnsi="Times New Roman" w:cs="Times New Roman"/>
          <w:sz w:val="24"/>
          <w:szCs w:val="24"/>
          <w:lang w:val="en-GB"/>
        </w:rPr>
        <w:t xml:space="preserve"> document (where applicable in accordance with clause 289.2 of the MAFR) shall be presented along with an </w:t>
      </w:r>
      <w:r w:rsidRPr="00C540E2">
        <w:rPr>
          <w:rFonts w:ascii="Times New Roman" w:eastAsia="Calibri" w:hAnsi="Times New Roman" w:cs="Times New Roman"/>
          <w:sz w:val="24"/>
          <w:szCs w:val="24"/>
          <w:lang w:val="en-GB"/>
        </w:rPr>
        <w:t xml:space="preserve">advance payment </w:t>
      </w:r>
      <w:r w:rsidR="00A01A8F" w:rsidRPr="00C540E2">
        <w:rPr>
          <w:rFonts w:ascii="Times New Roman" w:eastAsia="Calibri" w:hAnsi="Times New Roman" w:cs="Times New Roman"/>
          <w:sz w:val="24"/>
          <w:szCs w:val="24"/>
          <w:lang w:val="en-GB"/>
        </w:rPr>
        <w:t xml:space="preserve">request </w:t>
      </w:r>
      <w:r w:rsidRPr="00C540E2">
        <w:rPr>
          <w:rFonts w:ascii="Times New Roman" w:eastAsia="Calibri" w:hAnsi="Times New Roman" w:cs="Times New Roman"/>
          <w:sz w:val="24"/>
          <w:szCs w:val="24"/>
          <w:lang w:val="en-GB"/>
        </w:rPr>
        <w:t xml:space="preserve">(if any). If an advance payment is made for a project, the </w:t>
      </w:r>
      <w:r w:rsidR="00596BED" w:rsidRPr="00C540E2">
        <w:rPr>
          <w:rFonts w:ascii="Times New Roman" w:eastAsia="Calibri" w:hAnsi="Times New Roman" w:cs="Times New Roman"/>
          <w:sz w:val="24"/>
          <w:szCs w:val="24"/>
          <w:lang w:val="en-GB"/>
        </w:rPr>
        <w:t xml:space="preserve">Project Promoter </w:t>
      </w:r>
      <w:r w:rsidR="00A01A8F" w:rsidRPr="00C540E2">
        <w:rPr>
          <w:rFonts w:ascii="Times New Roman" w:eastAsia="Calibri" w:hAnsi="Times New Roman" w:cs="Times New Roman"/>
          <w:sz w:val="24"/>
          <w:szCs w:val="24"/>
          <w:lang w:val="en-GB"/>
        </w:rPr>
        <w:t>shall</w:t>
      </w:r>
      <w:r w:rsidRPr="00C540E2">
        <w:rPr>
          <w:rFonts w:ascii="Times New Roman" w:eastAsia="Calibri" w:hAnsi="Times New Roman" w:cs="Times New Roman"/>
          <w:sz w:val="24"/>
          <w:szCs w:val="24"/>
          <w:lang w:val="en-GB"/>
        </w:rPr>
        <w:t xml:space="preserve"> have a separate account with the credit institution for managing </w:t>
      </w:r>
      <w:r w:rsidR="00A01A8F" w:rsidRPr="00C540E2">
        <w:rPr>
          <w:rFonts w:ascii="Times New Roman" w:eastAsia="Calibri" w:hAnsi="Times New Roman" w:cs="Times New Roman"/>
          <w:sz w:val="24"/>
          <w:szCs w:val="24"/>
          <w:lang w:val="en-GB"/>
        </w:rPr>
        <w:t>financing allocated for the project</w:t>
      </w:r>
      <w:r w:rsidR="00B932E0" w:rsidRPr="00C540E2">
        <w:rPr>
          <w:rFonts w:ascii="Times New Roman" w:eastAsia="Calibri" w:hAnsi="Times New Roman" w:cs="Times New Roman"/>
          <w:sz w:val="24"/>
          <w:szCs w:val="24"/>
          <w:lang w:val="en-GB"/>
        </w:rPr>
        <w:t>.</w:t>
      </w:r>
    </w:p>
    <w:p w14:paraId="43D3244C" w14:textId="6F45E07B" w:rsidR="005921DA" w:rsidRPr="00C540E2" w:rsidRDefault="00A01A8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A </w:t>
      </w:r>
      <w:r w:rsidR="00596BED"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roject </w:t>
      </w:r>
      <w:r w:rsidR="00596BED" w:rsidRPr="00C540E2">
        <w:rPr>
          <w:rFonts w:ascii="Times New Roman" w:eastAsia="Calibri" w:hAnsi="Times New Roman" w:cs="Times New Roman"/>
          <w:sz w:val="24"/>
          <w:szCs w:val="24"/>
          <w:lang w:val="en-GB"/>
        </w:rPr>
        <w:t>P</w:t>
      </w:r>
      <w:r w:rsidRPr="00C540E2">
        <w:rPr>
          <w:rFonts w:ascii="Times New Roman" w:eastAsia="Calibri" w:hAnsi="Times New Roman" w:cs="Times New Roman"/>
          <w:sz w:val="24"/>
          <w:szCs w:val="24"/>
          <w:lang w:val="en-GB"/>
        </w:rPr>
        <w:t xml:space="preserve">artner (-s) from a Donor State and/or a project participant (-s) from a Donor State shall account for the expenses incurred in the course of project implementation in accordance with the procedure laid down in clauses </w:t>
      </w:r>
      <w:r w:rsidR="00063A27" w:rsidRPr="00C540E2">
        <w:rPr>
          <w:rFonts w:ascii="Times New Roman" w:eastAsia="Calibri" w:hAnsi="Times New Roman" w:cs="Times New Roman"/>
          <w:sz w:val="24"/>
          <w:szCs w:val="24"/>
          <w:lang w:val="en-GB"/>
        </w:rPr>
        <w:t xml:space="preserve">292-294 </w:t>
      </w:r>
      <w:r w:rsidRPr="00C540E2">
        <w:rPr>
          <w:rFonts w:ascii="Times New Roman" w:eastAsia="Calibri" w:hAnsi="Times New Roman" w:cs="Times New Roman"/>
          <w:sz w:val="24"/>
          <w:szCs w:val="24"/>
          <w:lang w:val="en-GB"/>
        </w:rPr>
        <w:t>of the MAFR and pursuant to the memo prepared by the Process Working Group published online at</w:t>
      </w:r>
      <w:r w:rsidR="00063A27" w:rsidRPr="00C540E2">
        <w:rPr>
          <w:rFonts w:ascii="Times New Roman" w:eastAsia="Calibri" w:hAnsi="Times New Roman" w:cs="Times New Roman"/>
          <w:sz w:val="24"/>
          <w:szCs w:val="24"/>
          <w:lang w:val="en-GB"/>
        </w:rPr>
        <w:t xml:space="preserve"> </w:t>
      </w:r>
      <w:hyperlink r:id="rId17" w:history="1">
        <w:r w:rsidR="00063A27" w:rsidRPr="00C540E2">
          <w:rPr>
            <w:rFonts w:ascii="Times New Roman" w:eastAsia="Calibri" w:hAnsi="Times New Roman" w:cs="Times New Roman"/>
            <w:sz w:val="24"/>
            <w:szCs w:val="24"/>
            <w:u w:val="single"/>
            <w:lang w:val="en-GB"/>
          </w:rPr>
          <w:t>www.cpva.lt</w:t>
        </w:r>
      </w:hyperlink>
      <w:r w:rsidR="00063A27" w:rsidRPr="00C540E2">
        <w:rPr>
          <w:rFonts w:ascii="Times New Roman" w:eastAsia="Calibri" w:hAnsi="Times New Roman" w:cs="Times New Roman"/>
          <w:sz w:val="24"/>
          <w:szCs w:val="24"/>
          <w:lang w:val="en-GB"/>
        </w:rPr>
        <w:t xml:space="preserve"> (</w:t>
      </w:r>
      <w:r w:rsidRPr="00C540E2">
        <w:rPr>
          <w:rFonts w:ascii="Times New Roman" w:eastAsia="Calibri" w:hAnsi="Times New Roman" w:cs="Times New Roman"/>
          <w:sz w:val="24"/>
          <w:szCs w:val="24"/>
          <w:lang w:val="en-GB"/>
        </w:rPr>
        <w:t>for the current memo edition and the forms see</w:t>
      </w:r>
      <w:r w:rsidR="00063A27" w:rsidRPr="00C540E2">
        <w:rPr>
          <w:rFonts w:ascii="Times New Roman" w:eastAsia="Calibri" w:hAnsi="Times New Roman" w:cs="Times New Roman"/>
          <w:sz w:val="24"/>
          <w:szCs w:val="24"/>
          <w:lang w:val="en-GB"/>
        </w:rPr>
        <w:t>:</w:t>
      </w:r>
      <w:r w:rsidR="007B3410" w:rsidRPr="00C540E2">
        <w:rPr>
          <w:rFonts w:ascii="Times New Roman" w:eastAsia="Calibri" w:hAnsi="Times New Roman" w:cs="Times New Roman"/>
          <w:sz w:val="24"/>
          <w:szCs w:val="24"/>
          <w:lang w:val="en-GB"/>
        </w:rPr>
        <w:t xml:space="preserve"> </w:t>
      </w:r>
      <w:hyperlink r:id="rId18" w:history="1">
        <w:r w:rsidR="00465308" w:rsidRPr="00C540E2">
          <w:rPr>
            <w:rStyle w:val="Hyperlink"/>
            <w:rFonts w:ascii="Times New Roman" w:eastAsia="Calibri" w:hAnsi="Times New Roman" w:cs="Times New Roman"/>
            <w:color w:val="auto"/>
            <w:sz w:val="24"/>
            <w:szCs w:val="24"/>
            <w:lang w:val="en-GB"/>
          </w:rPr>
          <w:t>https://www.cpva.lt/eee-ir-norvegijos-finansiniai-mechanizmai-2014-2021-m./dokumentai/682/act690?sqid=994b3627fada2d63b94793688db3b709c08413e2</w:t>
        </w:r>
      </w:hyperlink>
      <w:r w:rsidR="00465308" w:rsidRPr="00C540E2">
        <w:rPr>
          <w:rFonts w:ascii="Times New Roman" w:eastAsia="Calibri" w:hAnsi="Times New Roman" w:cs="Times New Roman"/>
          <w:sz w:val="24"/>
          <w:szCs w:val="24"/>
          <w:lang w:val="en-GB"/>
        </w:rPr>
        <w:t>)</w:t>
      </w:r>
      <w:r w:rsidR="00063A27" w:rsidRPr="00C540E2">
        <w:rPr>
          <w:rFonts w:ascii="Times New Roman" w:eastAsia="Calibri" w:hAnsi="Times New Roman" w:cs="Times New Roman"/>
          <w:sz w:val="24"/>
          <w:szCs w:val="24"/>
          <w:lang w:val="en-GB"/>
        </w:rPr>
        <w:t xml:space="preserve">. </w:t>
      </w:r>
    </w:p>
    <w:p w14:paraId="0AEA80A4" w14:textId="77777777" w:rsidR="00063A27" w:rsidRPr="00C540E2" w:rsidRDefault="00063A27" w:rsidP="00C540E2">
      <w:pPr>
        <w:pStyle w:val="ListParagraph"/>
        <w:spacing w:after="120" w:line="240" w:lineRule="auto"/>
        <w:ind w:left="1080"/>
        <w:jc w:val="both"/>
        <w:rPr>
          <w:rFonts w:ascii="Times New Roman" w:hAnsi="Times New Roman" w:cs="Times New Roman"/>
          <w:b/>
          <w:bCs/>
          <w:sz w:val="24"/>
          <w:szCs w:val="24"/>
          <w:lang w:val="en-GB"/>
        </w:rPr>
      </w:pPr>
    </w:p>
    <w:p w14:paraId="10DDAAF5" w14:textId="15A5D0BC" w:rsidR="00D737B5" w:rsidRPr="00C540E2" w:rsidRDefault="002B3D48"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C540E2">
        <w:rPr>
          <w:rFonts w:ascii="Times New Roman" w:hAnsi="Times New Roman" w:cs="Times New Roman"/>
          <w:b/>
          <w:bCs/>
          <w:caps/>
          <w:sz w:val="24"/>
          <w:szCs w:val="24"/>
          <w:lang w:val="en-GB"/>
        </w:rPr>
        <w:t>P</w:t>
      </w:r>
      <w:r w:rsidR="00047308" w:rsidRPr="00C540E2">
        <w:rPr>
          <w:rFonts w:ascii="Times New Roman" w:hAnsi="Times New Roman" w:cs="Times New Roman"/>
          <w:b/>
          <w:bCs/>
          <w:caps/>
          <w:sz w:val="24"/>
          <w:szCs w:val="24"/>
          <w:lang w:val="en-GB"/>
        </w:rPr>
        <w:t>reparation, acceptance of applications, evaluation and selection of projects</w:t>
      </w:r>
    </w:p>
    <w:p w14:paraId="6541D159" w14:textId="77777777" w:rsidR="004010C9" w:rsidRPr="00C540E2" w:rsidRDefault="004010C9" w:rsidP="00C540E2">
      <w:pPr>
        <w:pStyle w:val="ListParagraph"/>
        <w:spacing w:after="120" w:line="240" w:lineRule="auto"/>
        <w:ind w:left="1080"/>
        <w:jc w:val="both"/>
        <w:rPr>
          <w:rFonts w:ascii="Times New Roman" w:hAnsi="Times New Roman" w:cs="Times New Roman"/>
          <w:b/>
          <w:bCs/>
          <w:sz w:val="24"/>
          <w:szCs w:val="24"/>
          <w:lang w:val="en-GB"/>
        </w:rPr>
      </w:pPr>
    </w:p>
    <w:p w14:paraId="6B15C5EF" w14:textId="462DDE5B" w:rsidR="00051241" w:rsidRPr="00C540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bookmarkStart w:id="14" w:name="_Hlk18088966"/>
      <w:r w:rsidRPr="00C540E2">
        <w:rPr>
          <w:rFonts w:ascii="Times New Roman" w:eastAsia="Calibri" w:hAnsi="Times New Roman" w:cs="Times New Roman"/>
          <w:sz w:val="24"/>
          <w:szCs w:val="24"/>
          <w:lang w:val="en-GB"/>
        </w:rPr>
        <w:t>Mechanism and co-financing funds for projects under this open call shall be allocated by way of a</w:t>
      </w:r>
      <w:r w:rsidR="003F5ACC" w:rsidRPr="00C540E2">
        <w:rPr>
          <w:rFonts w:ascii="Times New Roman" w:eastAsia="Calibri" w:hAnsi="Times New Roman" w:cs="Times New Roman"/>
          <w:sz w:val="24"/>
          <w:szCs w:val="24"/>
          <w:lang w:val="en-GB"/>
        </w:rPr>
        <w:t>n open</w:t>
      </w:r>
      <w:r w:rsidRPr="00C540E2">
        <w:rPr>
          <w:rFonts w:ascii="Times New Roman" w:eastAsia="Calibri" w:hAnsi="Times New Roman" w:cs="Times New Roman"/>
          <w:sz w:val="24"/>
          <w:szCs w:val="24"/>
          <w:lang w:val="en-GB"/>
        </w:rPr>
        <w:t xml:space="preserve"> </w:t>
      </w:r>
      <w:r w:rsidR="003F5ACC" w:rsidRPr="00C540E2">
        <w:rPr>
          <w:rFonts w:ascii="Times New Roman" w:eastAsia="Calibri" w:hAnsi="Times New Roman" w:cs="Times New Roman"/>
          <w:sz w:val="24"/>
          <w:szCs w:val="24"/>
          <w:lang w:val="en-GB"/>
        </w:rPr>
        <w:t>call for applications</w:t>
      </w:r>
      <w:r w:rsidR="00E871F1" w:rsidRPr="00C540E2">
        <w:rPr>
          <w:rFonts w:ascii="Times New Roman" w:eastAsia="Calibri" w:hAnsi="Times New Roman" w:cs="Times New Roman"/>
          <w:sz w:val="24"/>
          <w:szCs w:val="24"/>
          <w:lang w:val="en-GB"/>
        </w:rPr>
        <w:t xml:space="preserve">. </w:t>
      </w:r>
    </w:p>
    <w:p w14:paraId="55D9F1CD" w14:textId="5E693A09" w:rsidR="002C13C6" w:rsidRPr="00C540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An open call is published online at</w:t>
      </w:r>
      <w:r w:rsidR="00E871F1" w:rsidRPr="00C540E2">
        <w:rPr>
          <w:rFonts w:ascii="Times New Roman" w:eastAsia="Calibri" w:hAnsi="Times New Roman" w:cs="Times New Roman"/>
          <w:sz w:val="24"/>
          <w:szCs w:val="24"/>
          <w:lang w:val="en-GB"/>
        </w:rPr>
        <w:t xml:space="preserve"> </w:t>
      </w:r>
      <w:hyperlink r:id="rId19" w:history="1">
        <w:r w:rsidR="00E871F1" w:rsidRPr="00C540E2">
          <w:rPr>
            <w:rFonts w:ascii="Times New Roman" w:eastAsia="Calibri" w:hAnsi="Times New Roman" w:cs="Times New Roman"/>
            <w:sz w:val="24"/>
            <w:szCs w:val="24"/>
            <w:lang w:val="en-GB"/>
          </w:rPr>
          <w:t>www.eeagrants.lt</w:t>
        </w:r>
      </w:hyperlink>
      <w:r w:rsidR="0042195D" w:rsidRPr="00C540E2">
        <w:rPr>
          <w:rFonts w:ascii="Times New Roman" w:eastAsia="Calibri" w:hAnsi="Times New Roman" w:cs="Times New Roman"/>
          <w:sz w:val="24"/>
          <w:szCs w:val="24"/>
          <w:lang w:val="en-GB"/>
        </w:rPr>
        <w:t xml:space="preserve"> </w:t>
      </w:r>
      <w:r w:rsidRPr="00C540E2">
        <w:rPr>
          <w:rFonts w:ascii="Times New Roman" w:eastAsia="Calibri" w:hAnsi="Times New Roman" w:cs="Times New Roman"/>
          <w:sz w:val="24"/>
          <w:szCs w:val="24"/>
          <w:lang w:val="en-GB"/>
        </w:rPr>
        <w:t>and</w:t>
      </w:r>
      <w:r w:rsidR="001E59D8" w:rsidRPr="00C540E2">
        <w:rPr>
          <w:rFonts w:ascii="Times New Roman" w:eastAsia="Calibri" w:hAnsi="Times New Roman" w:cs="Times New Roman"/>
          <w:sz w:val="24"/>
          <w:szCs w:val="24"/>
          <w:lang w:val="en-GB"/>
        </w:rPr>
        <w:t xml:space="preserve"> </w:t>
      </w:r>
      <w:hyperlink r:id="rId20" w:history="1">
        <w:r w:rsidR="001E59D8" w:rsidRPr="00C540E2">
          <w:rPr>
            <w:rFonts w:ascii="Times New Roman" w:eastAsia="Calibri" w:hAnsi="Times New Roman" w:cs="Times New Roman"/>
            <w:sz w:val="24"/>
            <w:szCs w:val="24"/>
            <w:lang w:val="en-GB"/>
          </w:rPr>
          <w:t>www.cpva.lt</w:t>
        </w:r>
      </w:hyperlink>
      <w:r w:rsidR="001E59D8" w:rsidRPr="00C540E2">
        <w:rPr>
          <w:rFonts w:ascii="Times New Roman" w:eastAsia="Calibri" w:hAnsi="Times New Roman" w:cs="Times New Roman"/>
          <w:sz w:val="24"/>
          <w:szCs w:val="24"/>
          <w:lang w:val="en-GB"/>
        </w:rPr>
        <w:t xml:space="preserve">. </w:t>
      </w:r>
    </w:p>
    <w:p w14:paraId="7818D8D5" w14:textId="22670765" w:rsidR="002C13C6" w:rsidRPr="00C540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bookmarkStart w:id="15" w:name="_Hlk18089141"/>
      <w:bookmarkEnd w:id="14"/>
      <w:r w:rsidRPr="00C540E2">
        <w:rPr>
          <w:rFonts w:ascii="Times New Roman" w:eastAsia="Calibri" w:hAnsi="Times New Roman" w:cs="Times New Roman"/>
          <w:sz w:val="24"/>
          <w:szCs w:val="24"/>
          <w:lang w:val="en-GB"/>
        </w:rPr>
        <w:t xml:space="preserve">In order to receive financing, the </w:t>
      </w:r>
      <w:r w:rsidR="0042195D"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 xml:space="preserve">pplicant shall </w:t>
      </w:r>
      <w:r w:rsidR="006F3E0F" w:rsidRPr="00C540E2">
        <w:rPr>
          <w:rFonts w:ascii="Times New Roman" w:eastAsia="Calibri" w:hAnsi="Times New Roman" w:cs="Times New Roman"/>
          <w:sz w:val="24"/>
          <w:szCs w:val="24"/>
          <w:lang w:val="en-GB"/>
        </w:rPr>
        <w:t>online via the DMS</w:t>
      </w:r>
      <w:r w:rsidR="006F3E0F" w:rsidRPr="00C540E2" w:rsidDel="006F3E0F">
        <w:rPr>
          <w:rFonts w:ascii="Times New Roman" w:eastAsia="Calibri" w:hAnsi="Times New Roman" w:cs="Times New Roman"/>
          <w:sz w:val="24"/>
          <w:szCs w:val="24"/>
          <w:lang w:val="en-GB"/>
        </w:rPr>
        <w:t xml:space="preserve"> </w:t>
      </w:r>
      <w:r w:rsidR="006F3E0F" w:rsidRPr="00C540E2">
        <w:rPr>
          <w:rFonts w:ascii="Times New Roman" w:eastAsia="Calibri" w:hAnsi="Times New Roman" w:cs="Times New Roman"/>
          <w:sz w:val="24"/>
          <w:szCs w:val="24"/>
          <w:lang w:val="en-GB"/>
        </w:rPr>
        <w:t xml:space="preserve">fill in </w:t>
      </w:r>
      <w:r w:rsidRPr="00C540E2">
        <w:rPr>
          <w:rFonts w:ascii="Times New Roman" w:eastAsia="Calibri" w:hAnsi="Times New Roman" w:cs="Times New Roman"/>
          <w:sz w:val="24"/>
          <w:szCs w:val="24"/>
          <w:lang w:val="en-GB"/>
        </w:rPr>
        <w:t>an application</w:t>
      </w:r>
      <w:r w:rsidR="006F3E0F" w:rsidRPr="00C540E2">
        <w:rPr>
          <w:rFonts w:ascii="Times New Roman" w:eastAsia="Calibri" w:hAnsi="Times New Roman" w:cs="Times New Roman"/>
          <w:sz w:val="24"/>
          <w:szCs w:val="24"/>
          <w:lang w:val="en-GB"/>
        </w:rPr>
        <w:t>,</w:t>
      </w:r>
      <w:r w:rsidRPr="00C540E2">
        <w:rPr>
          <w:rFonts w:ascii="Times New Roman" w:eastAsia="Calibri" w:hAnsi="Times New Roman" w:cs="Times New Roman"/>
          <w:sz w:val="24"/>
          <w:szCs w:val="24"/>
          <w:lang w:val="en-GB"/>
        </w:rPr>
        <w:t xml:space="preserve"> </w:t>
      </w:r>
      <w:r w:rsidR="006F3E0F" w:rsidRPr="00C540E2">
        <w:rPr>
          <w:rFonts w:ascii="Times New Roman" w:eastAsia="Calibri" w:hAnsi="Times New Roman" w:cs="Times New Roman"/>
          <w:sz w:val="24"/>
          <w:szCs w:val="24"/>
          <w:lang w:val="en-GB"/>
        </w:rPr>
        <w:t>d</w:t>
      </w:r>
      <w:r w:rsidRPr="00C540E2">
        <w:rPr>
          <w:rFonts w:ascii="Times New Roman" w:eastAsia="Calibri" w:hAnsi="Times New Roman" w:cs="Times New Roman"/>
          <w:sz w:val="24"/>
          <w:szCs w:val="24"/>
          <w:lang w:val="en-GB"/>
        </w:rPr>
        <w:t xml:space="preserve">rafted by the Process Working Group (a typical form is available in Annex </w:t>
      </w:r>
      <w:r w:rsidR="006C22D8" w:rsidRPr="00C540E2">
        <w:rPr>
          <w:rFonts w:ascii="Times New Roman" w:eastAsia="Calibri" w:hAnsi="Times New Roman" w:cs="Times New Roman"/>
          <w:sz w:val="24"/>
          <w:szCs w:val="24"/>
          <w:lang w:val="en-GB"/>
        </w:rPr>
        <w:t>2</w:t>
      </w:r>
      <w:r w:rsidRPr="00C540E2">
        <w:rPr>
          <w:rFonts w:ascii="Times New Roman" w:eastAsia="Calibri" w:hAnsi="Times New Roman" w:cs="Times New Roman"/>
          <w:sz w:val="24"/>
          <w:szCs w:val="24"/>
          <w:lang w:val="en-GB"/>
        </w:rPr>
        <w:t xml:space="preserve"> to these Guidelines), </w:t>
      </w:r>
      <w:r w:rsidR="006F3E0F" w:rsidRPr="00C540E2">
        <w:rPr>
          <w:rFonts w:ascii="Times New Roman" w:eastAsia="Calibri" w:hAnsi="Times New Roman" w:cs="Times New Roman"/>
          <w:sz w:val="24"/>
          <w:szCs w:val="24"/>
          <w:lang w:val="en-GB"/>
        </w:rPr>
        <w:t xml:space="preserve">and together with annexes submit it </w:t>
      </w:r>
      <w:r w:rsidRPr="00C540E2">
        <w:rPr>
          <w:rFonts w:ascii="Times New Roman" w:eastAsia="Calibri" w:hAnsi="Times New Roman" w:cs="Times New Roman"/>
          <w:sz w:val="24"/>
          <w:szCs w:val="24"/>
          <w:lang w:val="en-GB"/>
        </w:rPr>
        <w:t>via the DMS by the date specified in the call for applications</w:t>
      </w:r>
      <w:r w:rsidR="00C112A3" w:rsidRPr="00C540E2">
        <w:rPr>
          <w:rFonts w:ascii="Times New Roman" w:eastAsia="Calibri" w:hAnsi="Times New Roman" w:cs="Times New Roman"/>
          <w:sz w:val="24"/>
          <w:szCs w:val="24"/>
          <w:lang w:val="en-GB"/>
        </w:rPr>
        <w:t>.</w:t>
      </w:r>
      <w:r w:rsidR="001E59D8" w:rsidRPr="00C540E2">
        <w:rPr>
          <w:rFonts w:ascii="Times New Roman" w:eastAsia="Calibri" w:hAnsi="Times New Roman" w:cs="Times New Roman"/>
          <w:sz w:val="24"/>
          <w:szCs w:val="24"/>
          <w:lang w:val="en-GB"/>
        </w:rPr>
        <w:t xml:space="preserve"> </w:t>
      </w:r>
      <w:r w:rsidR="00667EF9" w:rsidRPr="00C540E2">
        <w:rPr>
          <w:rFonts w:ascii="Times New Roman" w:eastAsia="Calibri" w:hAnsi="Times New Roman" w:cs="Times New Roman"/>
          <w:sz w:val="24"/>
          <w:szCs w:val="24"/>
          <w:lang w:val="en-GB"/>
        </w:rPr>
        <w:t xml:space="preserve">After submitting the application, the applicant shall immediately be sent a confirmation via the DMS of the registration of the application stating the unique code assigned to the application. If the DMS functionality is not guaranteed, the applicant will be informed </w:t>
      </w:r>
      <w:r w:rsidR="00A0709C" w:rsidRPr="00C540E2">
        <w:rPr>
          <w:rFonts w:ascii="Times New Roman" w:eastAsia="Calibri" w:hAnsi="Times New Roman" w:cs="Times New Roman"/>
          <w:sz w:val="24"/>
          <w:szCs w:val="24"/>
          <w:lang w:val="en-GB"/>
        </w:rPr>
        <w:t xml:space="preserve">about the registration of the application and </w:t>
      </w:r>
      <w:r w:rsidR="00667EF9" w:rsidRPr="00C540E2">
        <w:rPr>
          <w:rFonts w:ascii="Times New Roman" w:eastAsia="Calibri" w:hAnsi="Times New Roman" w:cs="Times New Roman"/>
          <w:sz w:val="24"/>
          <w:szCs w:val="24"/>
          <w:lang w:val="en-GB"/>
        </w:rPr>
        <w:t>its unique code</w:t>
      </w:r>
      <w:r w:rsidR="00A0709C" w:rsidRPr="00C540E2">
        <w:rPr>
          <w:rFonts w:ascii="Times New Roman" w:eastAsia="Calibri" w:hAnsi="Times New Roman" w:cs="Times New Roman"/>
          <w:sz w:val="24"/>
          <w:szCs w:val="24"/>
          <w:lang w:val="en-GB"/>
        </w:rPr>
        <w:t xml:space="preserve"> in written</w:t>
      </w:r>
      <w:r w:rsidR="00667EF9" w:rsidRPr="00C540E2">
        <w:rPr>
          <w:rFonts w:ascii="Times New Roman" w:eastAsia="Calibri" w:hAnsi="Times New Roman" w:cs="Times New Roman"/>
          <w:sz w:val="24"/>
          <w:szCs w:val="24"/>
          <w:lang w:val="en-GB"/>
        </w:rPr>
        <w:t xml:space="preserve">, </w:t>
      </w:r>
      <w:r w:rsidR="00A0709C" w:rsidRPr="00C540E2">
        <w:rPr>
          <w:rFonts w:ascii="Times New Roman" w:eastAsia="Calibri" w:hAnsi="Times New Roman" w:cs="Times New Roman"/>
          <w:sz w:val="24"/>
          <w:szCs w:val="24"/>
          <w:lang w:val="en-GB"/>
        </w:rPr>
        <w:t xml:space="preserve">by </w:t>
      </w:r>
      <w:r w:rsidR="00667EF9" w:rsidRPr="00C540E2">
        <w:rPr>
          <w:rFonts w:ascii="Times New Roman" w:eastAsia="Calibri" w:hAnsi="Times New Roman" w:cs="Times New Roman"/>
          <w:sz w:val="24"/>
          <w:szCs w:val="24"/>
          <w:lang w:val="en-GB"/>
        </w:rPr>
        <w:t>sen</w:t>
      </w:r>
      <w:r w:rsidR="00A0709C" w:rsidRPr="00C540E2">
        <w:rPr>
          <w:rFonts w:ascii="Times New Roman" w:eastAsia="Calibri" w:hAnsi="Times New Roman" w:cs="Times New Roman"/>
          <w:sz w:val="24"/>
          <w:szCs w:val="24"/>
          <w:lang w:val="en-GB"/>
        </w:rPr>
        <w:t>ding information</w:t>
      </w:r>
      <w:r w:rsidR="00667EF9" w:rsidRPr="00C540E2">
        <w:rPr>
          <w:rFonts w:ascii="Times New Roman" w:eastAsia="Calibri" w:hAnsi="Times New Roman" w:cs="Times New Roman"/>
          <w:sz w:val="24"/>
          <w:szCs w:val="24"/>
          <w:lang w:val="en-GB"/>
        </w:rPr>
        <w:t xml:space="preserve"> to the email address </w:t>
      </w:r>
      <w:r w:rsidR="00A0709C" w:rsidRPr="00C540E2">
        <w:rPr>
          <w:rFonts w:ascii="Times New Roman" w:eastAsia="Calibri" w:hAnsi="Times New Roman" w:cs="Times New Roman"/>
          <w:sz w:val="24"/>
          <w:szCs w:val="24"/>
          <w:lang w:val="en-GB"/>
        </w:rPr>
        <w:t>of the indicated contact person.</w:t>
      </w:r>
    </w:p>
    <w:p w14:paraId="722B5B97" w14:textId="58685C9C" w:rsidR="0040653B" w:rsidRPr="00C540E2" w:rsidRDefault="00A910AD" w:rsidP="31BA2C24">
      <w:pPr>
        <w:pStyle w:val="ListParagraph"/>
        <w:numPr>
          <w:ilvl w:val="0"/>
          <w:numId w:val="12"/>
        </w:numPr>
        <w:shd w:val="clear" w:color="auto" w:fill="FFFFFF" w:themeFill="background1"/>
        <w:spacing w:after="120" w:line="240" w:lineRule="auto"/>
        <w:jc w:val="both"/>
        <w:rPr>
          <w:rFonts w:ascii="Times New Roman" w:eastAsia="Calibri" w:hAnsi="Times New Roman" w:cs="Times New Roman"/>
          <w:sz w:val="24"/>
          <w:szCs w:val="24"/>
          <w:lang w:val="en-GB"/>
        </w:rPr>
      </w:pPr>
      <w:r w:rsidRPr="31BA2C24">
        <w:rPr>
          <w:rFonts w:ascii="Times New Roman" w:eastAsia="Calibri" w:hAnsi="Times New Roman" w:cs="Times New Roman"/>
          <w:sz w:val="24"/>
          <w:szCs w:val="24"/>
          <w:lang w:val="en-GB"/>
        </w:rPr>
        <w:t xml:space="preserve">Applications submitted by other than DMS </w:t>
      </w:r>
      <w:r w:rsidR="0042195D" w:rsidRPr="31BA2C24">
        <w:rPr>
          <w:rFonts w:ascii="Times New Roman" w:eastAsia="Calibri" w:hAnsi="Times New Roman" w:cs="Times New Roman"/>
          <w:sz w:val="24"/>
          <w:szCs w:val="24"/>
          <w:lang w:val="en-GB"/>
        </w:rPr>
        <w:t>means</w:t>
      </w:r>
      <w:r w:rsidRPr="31BA2C24">
        <w:rPr>
          <w:rFonts w:ascii="Times New Roman" w:eastAsia="Calibri" w:hAnsi="Times New Roman" w:cs="Times New Roman"/>
          <w:sz w:val="24"/>
          <w:szCs w:val="24"/>
          <w:lang w:val="en-GB"/>
        </w:rPr>
        <w:t xml:space="preserve"> and measures shall not be accepted and shall be returned to </w:t>
      </w:r>
      <w:r w:rsidR="0042195D" w:rsidRPr="31BA2C24">
        <w:rPr>
          <w:rFonts w:ascii="Times New Roman" w:eastAsia="Calibri" w:hAnsi="Times New Roman" w:cs="Times New Roman"/>
          <w:sz w:val="24"/>
          <w:szCs w:val="24"/>
          <w:lang w:val="en-GB"/>
        </w:rPr>
        <w:t>A</w:t>
      </w:r>
      <w:r w:rsidRPr="31BA2C24">
        <w:rPr>
          <w:rFonts w:ascii="Times New Roman" w:eastAsia="Calibri" w:hAnsi="Times New Roman" w:cs="Times New Roman"/>
          <w:sz w:val="24"/>
          <w:szCs w:val="24"/>
          <w:lang w:val="en-GB"/>
        </w:rPr>
        <w:t xml:space="preserve">pplicant. In case of a temporary failure to ensure DMS functionalities, which makes it impossible for </w:t>
      </w:r>
      <w:r w:rsidR="0042195D" w:rsidRPr="31BA2C24">
        <w:rPr>
          <w:rFonts w:ascii="Times New Roman" w:eastAsia="Calibri" w:hAnsi="Times New Roman" w:cs="Times New Roman"/>
          <w:sz w:val="24"/>
          <w:szCs w:val="24"/>
          <w:lang w:val="en-GB"/>
        </w:rPr>
        <w:t>A</w:t>
      </w:r>
      <w:r w:rsidRPr="31BA2C24">
        <w:rPr>
          <w:rFonts w:ascii="Times New Roman" w:eastAsia="Calibri" w:hAnsi="Times New Roman" w:cs="Times New Roman"/>
          <w:sz w:val="24"/>
          <w:szCs w:val="24"/>
          <w:lang w:val="en-GB"/>
        </w:rPr>
        <w:t xml:space="preserve">pplicants to submit applications or annexes thereto on the deadline for the submission of applications, the CPMA shall extend the deadline for the submission of applications for 7 </w:t>
      </w:r>
      <w:r w:rsidR="0051283B" w:rsidRPr="31BA2C24">
        <w:rPr>
          <w:rFonts w:ascii="Times New Roman" w:eastAsia="Calibri" w:hAnsi="Times New Roman" w:cs="Times New Roman"/>
          <w:sz w:val="24"/>
          <w:szCs w:val="24"/>
          <w:lang w:val="en-GB"/>
        </w:rPr>
        <w:t xml:space="preserve">working </w:t>
      </w:r>
      <w:r w:rsidRPr="31BA2C24">
        <w:rPr>
          <w:rFonts w:ascii="Times New Roman" w:eastAsia="Calibri" w:hAnsi="Times New Roman" w:cs="Times New Roman"/>
          <w:sz w:val="24"/>
          <w:szCs w:val="24"/>
          <w:lang w:val="en-GB"/>
        </w:rPr>
        <w:t xml:space="preserve">days and/or create the opportunity to submit applications or annexes thereto </w:t>
      </w:r>
      <w:r w:rsidR="0042195D" w:rsidRPr="31BA2C24">
        <w:rPr>
          <w:rFonts w:ascii="Times New Roman" w:eastAsia="Calibri" w:hAnsi="Times New Roman" w:cs="Times New Roman"/>
          <w:sz w:val="24"/>
          <w:szCs w:val="24"/>
          <w:lang w:val="en-GB"/>
        </w:rPr>
        <w:t>by other means</w:t>
      </w:r>
      <w:r w:rsidRPr="31BA2C24">
        <w:rPr>
          <w:rFonts w:ascii="Times New Roman" w:eastAsia="Calibri" w:hAnsi="Times New Roman" w:cs="Times New Roman"/>
          <w:sz w:val="24"/>
          <w:szCs w:val="24"/>
          <w:lang w:val="en-GB"/>
        </w:rPr>
        <w:t xml:space="preserve">, informing </w:t>
      </w:r>
      <w:r w:rsidR="002336C5" w:rsidRPr="31BA2C24">
        <w:rPr>
          <w:rFonts w:ascii="Times New Roman" w:eastAsia="Calibri" w:hAnsi="Times New Roman" w:cs="Times New Roman"/>
          <w:sz w:val="24"/>
          <w:szCs w:val="24"/>
          <w:lang w:val="en-GB"/>
        </w:rPr>
        <w:t>A</w:t>
      </w:r>
      <w:r w:rsidRPr="31BA2C24">
        <w:rPr>
          <w:rFonts w:ascii="Times New Roman" w:eastAsia="Calibri" w:hAnsi="Times New Roman" w:cs="Times New Roman"/>
          <w:sz w:val="24"/>
          <w:szCs w:val="24"/>
          <w:lang w:val="en-GB"/>
        </w:rPr>
        <w:t>pplicants thereof via DMS or in writing, if DMS functions have not been installed or are not ensured</w:t>
      </w:r>
      <w:r w:rsidR="0040653B" w:rsidRPr="31BA2C24">
        <w:rPr>
          <w:rFonts w:ascii="Times New Roman" w:eastAsia="Calibri" w:hAnsi="Times New Roman" w:cs="Times New Roman"/>
          <w:sz w:val="24"/>
          <w:szCs w:val="24"/>
          <w:lang w:val="en-GB"/>
        </w:rPr>
        <w:t>.</w:t>
      </w:r>
    </w:p>
    <w:p w14:paraId="387B233B" w14:textId="62E78763" w:rsidR="002C13C6" w:rsidRPr="00C540E2" w:rsidRDefault="00A910AD"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lastRenderedPageBreak/>
        <w:t xml:space="preserve">The </w:t>
      </w:r>
      <w:r w:rsidR="002336C5"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 xml:space="preserve">pplicant may ask questions regarding the conditions of allocation of financing, also questions relating to the </w:t>
      </w:r>
      <w:r w:rsidR="008C4098" w:rsidRPr="00C540E2">
        <w:rPr>
          <w:rFonts w:ascii="Times New Roman" w:eastAsia="Calibri" w:hAnsi="Times New Roman" w:cs="Times New Roman"/>
          <w:sz w:val="24"/>
          <w:szCs w:val="24"/>
          <w:lang w:val="en-GB"/>
        </w:rPr>
        <w:t xml:space="preserve">filling </w:t>
      </w:r>
      <w:r w:rsidRPr="00C540E2">
        <w:rPr>
          <w:rFonts w:ascii="Times New Roman" w:eastAsia="Calibri" w:hAnsi="Times New Roman" w:cs="Times New Roman"/>
          <w:sz w:val="24"/>
          <w:szCs w:val="24"/>
          <w:lang w:val="en-GB"/>
        </w:rPr>
        <w:t>of applications and other financing allocation-related questions by calling CPMA phone numbers indicated in the call, in writing, e-mail or verbally.</w:t>
      </w:r>
    </w:p>
    <w:p w14:paraId="4E886666" w14:textId="652CB809" w:rsidR="0040653B" w:rsidRPr="00C540E2" w:rsidRDefault="00A910AD"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C540E2">
        <w:rPr>
          <w:rFonts w:ascii="Times New Roman" w:eastAsia="Calibri" w:hAnsi="Times New Roman" w:cs="Times New Roman"/>
          <w:sz w:val="24"/>
          <w:szCs w:val="24"/>
          <w:lang w:val="en-GB"/>
        </w:rPr>
        <w:t xml:space="preserve">The </w:t>
      </w:r>
      <w:r w:rsidR="002336C5" w:rsidRPr="00C540E2">
        <w:rPr>
          <w:rFonts w:ascii="Times New Roman" w:eastAsia="Calibri" w:hAnsi="Times New Roman" w:cs="Times New Roman"/>
          <w:sz w:val="24"/>
          <w:szCs w:val="24"/>
          <w:lang w:val="en-GB"/>
        </w:rPr>
        <w:t>A</w:t>
      </w:r>
      <w:r w:rsidRPr="00C540E2">
        <w:rPr>
          <w:rFonts w:ascii="Times New Roman" w:eastAsia="Calibri" w:hAnsi="Times New Roman" w:cs="Times New Roman"/>
          <w:sz w:val="24"/>
          <w:szCs w:val="24"/>
          <w:lang w:val="en-GB"/>
        </w:rPr>
        <w:t>pplicant shall submit the following annexes along with its application</w:t>
      </w:r>
      <w:r w:rsidR="0040653B" w:rsidRPr="00C540E2">
        <w:rPr>
          <w:rFonts w:ascii="Times New Roman" w:eastAsia="Calibri" w:hAnsi="Times New Roman" w:cs="Times New Roman"/>
          <w:sz w:val="24"/>
          <w:szCs w:val="24"/>
          <w:lang w:val="en-GB"/>
        </w:rPr>
        <w:t>:</w:t>
      </w:r>
    </w:p>
    <w:p w14:paraId="1E0AE5D2" w14:textId="378C08CE" w:rsidR="00C65803" w:rsidRPr="00C540E2" w:rsidRDefault="006A4DBC"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Documents </w:t>
      </w:r>
      <w:r w:rsidR="008C4098" w:rsidRPr="00C540E2">
        <w:rPr>
          <w:rFonts w:ascii="Times New Roman" w:hAnsi="Times New Roman" w:cs="Times New Roman"/>
          <w:sz w:val="24"/>
          <w:szCs w:val="24"/>
          <w:lang w:val="en-GB"/>
        </w:rPr>
        <w:t xml:space="preserve">justifying </w:t>
      </w:r>
      <w:r w:rsidRPr="00C540E2">
        <w:rPr>
          <w:rFonts w:ascii="Times New Roman" w:hAnsi="Times New Roman" w:cs="Times New Roman"/>
          <w:sz w:val="24"/>
          <w:szCs w:val="24"/>
          <w:lang w:val="en-GB"/>
        </w:rPr>
        <w:t xml:space="preserve">the validity of the project’s budget </w:t>
      </w:r>
      <w:r w:rsidR="00C65803" w:rsidRPr="00C540E2">
        <w:rPr>
          <w:rFonts w:ascii="Times New Roman" w:hAnsi="Times New Roman" w:cs="Times New Roman"/>
          <w:sz w:val="24"/>
          <w:szCs w:val="24"/>
          <w:lang w:val="en-GB"/>
        </w:rPr>
        <w:t>(</w:t>
      </w:r>
      <w:r w:rsidRPr="00C540E2">
        <w:rPr>
          <w:rFonts w:ascii="Times New Roman" w:hAnsi="Times New Roman" w:cs="Times New Roman"/>
          <w:sz w:val="24"/>
          <w:szCs w:val="24"/>
          <w:lang w:val="en-GB"/>
        </w:rPr>
        <w:t xml:space="preserve">in cases where costs will be incurred in holding (public) procurement procedures (except for costs, which will be declared and compensated </w:t>
      </w:r>
      <w:r w:rsidR="008C4098" w:rsidRPr="00C540E2">
        <w:rPr>
          <w:rFonts w:ascii="Times New Roman" w:hAnsi="Times New Roman" w:cs="Times New Roman"/>
          <w:sz w:val="24"/>
          <w:szCs w:val="24"/>
          <w:lang w:val="en-GB"/>
        </w:rPr>
        <w:t xml:space="preserve">on </w:t>
      </w:r>
      <w:r w:rsidRPr="00C540E2">
        <w:rPr>
          <w:rFonts w:ascii="Times New Roman" w:hAnsi="Times New Roman" w:cs="Times New Roman"/>
          <w:sz w:val="24"/>
          <w:szCs w:val="24"/>
          <w:lang w:val="en-GB"/>
        </w:rPr>
        <w:t xml:space="preserve">a simplified </w:t>
      </w:r>
      <w:r w:rsidR="008C4098" w:rsidRPr="00C540E2">
        <w:rPr>
          <w:rFonts w:ascii="Times New Roman" w:hAnsi="Times New Roman" w:cs="Times New Roman"/>
          <w:sz w:val="24"/>
          <w:szCs w:val="24"/>
          <w:lang w:val="en-GB"/>
        </w:rPr>
        <w:t>bases</w:t>
      </w:r>
      <w:r w:rsidR="00BE0417"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 xml:space="preserve">the planned costs shall be justified by </w:t>
      </w:r>
      <w:r w:rsidR="002336C5"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 conducted market research</w:t>
      </w:r>
      <w:r w:rsidR="00BE0417" w:rsidRPr="00C540E2">
        <w:rPr>
          <w:rFonts w:ascii="Times New Roman" w:hAnsi="Times New Roman" w:cs="Times New Roman"/>
          <w:sz w:val="24"/>
          <w:szCs w:val="24"/>
          <w:lang w:val="en-GB"/>
        </w:rPr>
        <w:t>)</w:t>
      </w:r>
      <w:r w:rsidR="00F071C1" w:rsidRPr="00C540E2">
        <w:rPr>
          <w:rFonts w:ascii="Times New Roman" w:hAnsi="Times New Roman" w:cs="Times New Roman"/>
          <w:sz w:val="24"/>
          <w:szCs w:val="24"/>
          <w:lang w:val="en-GB"/>
        </w:rPr>
        <w:t xml:space="preserve">; </w:t>
      </w:r>
    </w:p>
    <w:p w14:paraId="3806DC3C" w14:textId="77777777" w:rsidR="00936041" w:rsidRPr="00C540E2" w:rsidRDefault="00967887"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 copy of </w:t>
      </w:r>
      <w:r w:rsidR="002336C5"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 draft partnership agreement in the content specified in </w:t>
      </w:r>
      <w:r w:rsidR="00C422E5" w:rsidRPr="00C540E2">
        <w:rPr>
          <w:rFonts w:ascii="Times New Roman" w:hAnsi="Times New Roman" w:cs="Times New Roman"/>
          <w:sz w:val="24"/>
          <w:szCs w:val="24"/>
          <w:lang w:val="en-GB"/>
        </w:rPr>
        <w:t>these guidelines</w:t>
      </w:r>
      <w:r w:rsidRPr="00C540E2">
        <w:rPr>
          <w:rFonts w:ascii="Times New Roman" w:hAnsi="Times New Roman" w:cs="Times New Roman"/>
          <w:sz w:val="24"/>
          <w:szCs w:val="24"/>
          <w:lang w:val="en-GB"/>
        </w:rPr>
        <w:t xml:space="preserve"> (if a partnership agreement has been signed before the submission of the application – a copy of a signed agreement) or a letter of intent to conclude such an agreement</w:t>
      </w:r>
      <w:r w:rsidR="00A0319A" w:rsidRPr="00C540E2">
        <w:rPr>
          <w:rFonts w:ascii="Times New Roman" w:hAnsi="Times New Roman" w:cs="Times New Roman"/>
          <w:sz w:val="24"/>
          <w:szCs w:val="24"/>
          <w:lang w:val="en-GB"/>
        </w:rPr>
        <w:t>;</w:t>
      </w:r>
    </w:p>
    <w:p w14:paraId="421AA9D9" w14:textId="77777777" w:rsidR="00A87796" w:rsidRPr="00C540E2" w:rsidRDefault="00C422E5"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Justification of calculation of indirect project costs;</w:t>
      </w:r>
    </w:p>
    <w:p w14:paraId="3579D0BA" w14:textId="54E38ECB" w:rsidR="00A87796" w:rsidRPr="00C540E2" w:rsidRDefault="00A87796"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31BA2C24">
        <w:rPr>
          <w:rFonts w:ascii="Times New Roman" w:hAnsi="Times New Roman" w:cs="Times New Roman"/>
          <w:sz w:val="24"/>
          <w:szCs w:val="24"/>
          <w:lang w:val="en-GB"/>
        </w:rPr>
        <w:t>Documents justifying the involvement of personal health care institutions, public health offices, non-governmental youth organizations in social security, education, law enforcement institutions in the implementation of the Model (if applicable) (Joint Activity / Cooperation Agreement, Memorandum of Understanding, Municipal Council Decision);</w:t>
      </w:r>
    </w:p>
    <w:p w14:paraId="2449E157" w14:textId="77777777" w:rsidR="00A87796" w:rsidRPr="00C540E2" w:rsidRDefault="00A87796"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Documents justifying the “green corridor” principle (if applicable) envisaged / applied in the JPSPP in the municipality providing the services (the decision of the Municipal Council or the head of the service provider is submitted).</w:t>
      </w:r>
    </w:p>
    <w:p w14:paraId="4255A47B" w14:textId="0715D269" w:rsidR="002C13C6" w:rsidRPr="00C540E2" w:rsidRDefault="00EE637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CPMA shall arrange the evaluation of applications </w:t>
      </w:r>
      <w:r w:rsidR="00475CCB" w:rsidRPr="00C540E2">
        <w:rPr>
          <w:rFonts w:ascii="Times New Roman" w:hAnsi="Times New Roman" w:cs="Times New Roman"/>
          <w:sz w:val="24"/>
          <w:szCs w:val="24"/>
          <w:lang w:val="en-GB"/>
        </w:rPr>
        <w:t>following</w:t>
      </w:r>
      <w:r w:rsidRPr="00C540E2">
        <w:rPr>
          <w:rFonts w:ascii="Times New Roman" w:hAnsi="Times New Roman" w:cs="Times New Roman"/>
          <w:sz w:val="24"/>
          <w:szCs w:val="24"/>
          <w:lang w:val="en-GB"/>
        </w:rPr>
        <w:t xml:space="preserve"> the provision</w:t>
      </w:r>
      <w:r w:rsidR="00E63496" w:rsidRPr="00C540E2">
        <w:rPr>
          <w:rFonts w:ascii="Times New Roman" w:hAnsi="Times New Roman" w:cs="Times New Roman"/>
          <w:sz w:val="24"/>
          <w:szCs w:val="24"/>
          <w:lang w:val="en-GB"/>
        </w:rPr>
        <w:t>s</w:t>
      </w:r>
      <w:r w:rsidRPr="00C540E2">
        <w:rPr>
          <w:rFonts w:ascii="Times New Roman" w:hAnsi="Times New Roman" w:cs="Times New Roman"/>
          <w:sz w:val="24"/>
          <w:szCs w:val="24"/>
          <w:lang w:val="en-GB"/>
        </w:rPr>
        <w:t xml:space="preserve"> of Chapter XVI</w:t>
      </w:r>
      <w:r w:rsidR="00475CCB" w:rsidRPr="00C540E2">
        <w:rPr>
          <w:rFonts w:ascii="Times New Roman" w:hAnsi="Times New Roman" w:cs="Times New Roman"/>
          <w:sz w:val="24"/>
          <w:szCs w:val="24"/>
          <w:lang w:val="en-GB"/>
        </w:rPr>
        <w:t>I</w:t>
      </w:r>
      <w:r w:rsidRPr="00C540E2">
        <w:rPr>
          <w:rFonts w:ascii="Times New Roman" w:hAnsi="Times New Roman" w:cs="Times New Roman"/>
          <w:sz w:val="24"/>
          <w:szCs w:val="24"/>
          <w:lang w:val="en-GB"/>
        </w:rPr>
        <w:t xml:space="preserve"> of the MAFR. The evaluation shall be done by evaluators completing evaluation tables in the forms presented in Annexes </w:t>
      </w:r>
      <w:r w:rsidR="00C422E5" w:rsidRPr="00C540E2">
        <w:rPr>
          <w:rFonts w:ascii="Times New Roman" w:hAnsi="Times New Roman" w:cs="Times New Roman"/>
          <w:sz w:val="24"/>
          <w:szCs w:val="24"/>
          <w:lang w:val="en-GB"/>
        </w:rPr>
        <w:t>3</w:t>
      </w:r>
      <w:r w:rsidRPr="00C540E2">
        <w:rPr>
          <w:rFonts w:ascii="Times New Roman" w:hAnsi="Times New Roman" w:cs="Times New Roman"/>
          <w:sz w:val="24"/>
          <w:szCs w:val="24"/>
          <w:lang w:val="en-GB"/>
        </w:rPr>
        <w:t xml:space="preserve">, </w:t>
      </w:r>
      <w:r w:rsidR="00C422E5" w:rsidRPr="00C540E2">
        <w:rPr>
          <w:rFonts w:ascii="Times New Roman" w:hAnsi="Times New Roman" w:cs="Times New Roman"/>
          <w:sz w:val="24"/>
          <w:szCs w:val="24"/>
          <w:lang w:val="en-GB"/>
        </w:rPr>
        <w:t>4</w:t>
      </w:r>
      <w:r w:rsidRPr="00C540E2">
        <w:rPr>
          <w:rFonts w:ascii="Times New Roman" w:hAnsi="Times New Roman" w:cs="Times New Roman"/>
          <w:sz w:val="24"/>
          <w:szCs w:val="24"/>
          <w:lang w:val="en-GB"/>
        </w:rPr>
        <w:t xml:space="preserve"> and </w:t>
      </w:r>
      <w:r w:rsidR="00C422E5" w:rsidRPr="00C540E2">
        <w:rPr>
          <w:rFonts w:ascii="Times New Roman" w:hAnsi="Times New Roman" w:cs="Times New Roman"/>
          <w:sz w:val="24"/>
          <w:szCs w:val="24"/>
          <w:lang w:val="en-GB"/>
        </w:rPr>
        <w:t>5</w:t>
      </w:r>
      <w:r w:rsidRPr="00C540E2">
        <w:rPr>
          <w:rFonts w:ascii="Times New Roman" w:hAnsi="Times New Roman" w:cs="Times New Roman"/>
          <w:sz w:val="24"/>
          <w:szCs w:val="24"/>
          <w:lang w:val="en-GB"/>
        </w:rPr>
        <w:t xml:space="preserve"> to the Guidelines</w:t>
      </w:r>
      <w:r w:rsidR="002C13C6" w:rsidRPr="00C540E2">
        <w:rPr>
          <w:rFonts w:ascii="Times New Roman" w:hAnsi="Times New Roman" w:cs="Times New Roman"/>
          <w:sz w:val="24"/>
          <w:szCs w:val="24"/>
          <w:lang w:val="en-GB"/>
        </w:rPr>
        <w:t>.</w:t>
      </w:r>
    </w:p>
    <w:p w14:paraId="791586B8" w14:textId="4B3DA3EF" w:rsidR="00BE2D50" w:rsidRPr="00C540E2" w:rsidRDefault="00EE637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At the time of the evaluation of applications, the CPMA may ask the </w:t>
      </w:r>
      <w:r w:rsidR="00E63496"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pplicant to submit the missing information and/ or documents. The </w:t>
      </w:r>
      <w:r w:rsidR="00E63496"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pplicant shall submit this information and/or documents within the deadline set by the CPMA</w:t>
      </w:r>
      <w:r w:rsidR="00002B9F" w:rsidRPr="00C540E2">
        <w:rPr>
          <w:rFonts w:ascii="Times New Roman" w:hAnsi="Times New Roman" w:cs="Times New Roman"/>
          <w:sz w:val="24"/>
          <w:szCs w:val="24"/>
          <w:lang w:val="en-GB"/>
        </w:rPr>
        <w:t>, which should be at least 3 working days</w:t>
      </w:r>
      <w:r w:rsidRPr="00C540E2">
        <w:rPr>
          <w:rFonts w:ascii="Times New Roman" w:hAnsi="Times New Roman" w:cs="Times New Roman"/>
          <w:sz w:val="24"/>
          <w:szCs w:val="24"/>
          <w:lang w:val="en-GB"/>
        </w:rPr>
        <w:t xml:space="preserve">. The CPMA and the </w:t>
      </w:r>
      <w:r w:rsidR="00E63496"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pplicant shall correspond via DMS in the course of the evaluation</w:t>
      </w:r>
      <w:r w:rsidR="00BE2D50" w:rsidRPr="00C540E2">
        <w:rPr>
          <w:rFonts w:ascii="Times New Roman" w:hAnsi="Times New Roman" w:cs="Times New Roman"/>
          <w:sz w:val="24"/>
          <w:szCs w:val="24"/>
          <w:lang w:val="en-GB"/>
        </w:rPr>
        <w:t>.</w:t>
      </w:r>
    </w:p>
    <w:p w14:paraId="1730917F" w14:textId="3ABDDFE6" w:rsidR="004857EE" w:rsidRPr="00C540E2" w:rsidRDefault="00995B7D"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At least two independent experts shall conduct a </w:t>
      </w:r>
      <w:r w:rsidRPr="009A0266">
        <w:rPr>
          <w:rFonts w:ascii="Times New Roman" w:hAnsi="Times New Roman" w:cs="Times New Roman"/>
          <w:sz w:val="24"/>
          <w:szCs w:val="24"/>
          <w:lang w:val="en-GB"/>
        </w:rPr>
        <w:t>benefit</w:t>
      </w:r>
      <w:r w:rsidRPr="00C540E2">
        <w:rPr>
          <w:rFonts w:ascii="Times New Roman" w:hAnsi="Times New Roman" w:cs="Times New Roman"/>
          <w:sz w:val="24"/>
          <w:szCs w:val="24"/>
          <w:lang w:val="en-GB"/>
        </w:rPr>
        <w:t xml:space="preserve"> and quality evaluation. Applications shall be evaluated in scores in accordance with priority project selection criteria, which may not be changed in the course of the evaluation of projects. The maximum possible score according to each criterion is indicated in Annex 4 to the Guidelines. The maximum score,</w:t>
      </w:r>
      <w:r w:rsidR="0016628A" w:rsidRPr="00C540E2">
        <w:rPr>
          <w:rFonts w:ascii="Times New Roman" w:hAnsi="Times New Roman" w:cs="Times New Roman"/>
          <w:sz w:val="24"/>
          <w:szCs w:val="24"/>
          <w:lang w:val="en-GB"/>
        </w:rPr>
        <w:t xml:space="preserve"> which may be given according to all criteria of evaluation of the project’s </w:t>
      </w:r>
      <w:r w:rsidR="00C24779" w:rsidRPr="00C540E2">
        <w:rPr>
          <w:rFonts w:ascii="Times New Roman" w:hAnsi="Times New Roman" w:cs="Times New Roman"/>
          <w:sz w:val="24"/>
          <w:szCs w:val="24"/>
          <w:lang w:val="en-GB"/>
        </w:rPr>
        <w:t>benefit and quality, shall be 100</w:t>
      </w:r>
      <w:r w:rsidR="00C24779" w:rsidRPr="00112622">
        <w:rPr>
          <w:rFonts w:ascii="Times New Roman" w:hAnsi="Times New Roman" w:cs="Times New Roman"/>
          <w:sz w:val="24"/>
          <w:szCs w:val="24"/>
          <w:lang w:val="en-GB"/>
        </w:rPr>
        <w:t xml:space="preserve">. </w:t>
      </w:r>
      <w:r w:rsidR="00C422E5" w:rsidRPr="00112622">
        <w:rPr>
          <w:rFonts w:ascii="Times New Roman" w:hAnsi="Times New Roman" w:cs="Times New Roman"/>
          <w:sz w:val="24"/>
          <w:szCs w:val="24"/>
          <w:lang w:val="en-GB"/>
        </w:rPr>
        <w:t>4</w:t>
      </w:r>
      <w:r w:rsidR="00A87796" w:rsidRPr="00112622">
        <w:rPr>
          <w:rFonts w:ascii="Times New Roman" w:hAnsi="Times New Roman" w:cs="Times New Roman"/>
          <w:sz w:val="24"/>
          <w:szCs w:val="24"/>
          <w:lang w:val="en-GB"/>
        </w:rPr>
        <w:t>5</w:t>
      </w:r>
      <w:r w:rsidR="00C24779" w:rsidRPr="00C540E2">
        <w:rPr>
          <w:rFonts w:ascii="Times New Roman" w:hAnsi="Times New Roman" w:cs="Times New Roman"/>
          <w:sz w:val="24"/>
          <w:szCs w:val="24"/>
          <w:lang w:val="en-GB"/>
        </w:rPr>
        <w:t xml:space="preserve"> shall be the minimum </w:t>
      </w:r>
      <w:r w:rsidR="002B7F47" w:rsidRPr="00C540E2">
        <w:rPr>
          <w:rFonts w:ascii="Times New Roman" w:hAnsi="Times New Roman" w:cs="Times New Roman"/>
          <w:sz w:val="24"/>
          <w:szCs w:val="24"/>
          <w:lang w:val="en-GB"/>
        </w:rPr>
        <w:t xml:space="preserve">mandatory </w:t>
      </w:r>
      <w:r w:rsidR="00C24779" w:rsidRPr="00C540E2">
        <w:rPr>
          <w:rFonts w:ascii="Times New Roman" w:hAnsi="Times New Roman" w:cs="Times New Roman"/>
          <w:sz w:val="24"/>
          <w:szCs w:val="24"/>
          <w:lang w:val="en-GB"/>
        </w:rPr>
        <w:t>score for projects under this call</w:t>
      </w:r>
      <w:r w:rsidR="002B7F47" w:rsidRPr="00C540E2">
        <w:rPr>
          <w:rFonts w:ascii="Times New Roman" w:hAnsi="Times New Roman" w:cs="Times New Roman"/>
          <w:sz w:val="24"/>
          <w:szCs w:val="24"/>
          <w:lang w:val="en-GB"/>
        </w:rPr>
        <w:t>. Where projects receive the same score,</w:t>
      </w:r>
      <w:r w:rsidR="00002B9F" w:rsidRPr="00C540E2">
        <w:rPr>
          <w:rFonts w:ascii="Times New Roman" w:hAnsi="Times New Roman" w:cs="Times New Roman"/>
          <w:sz w:val="24"/>
          <w:szCs w:val="24"/>
          <w:lang w:val="en-GB"/>
        </w:rPr>
        <w:t xml:space="preserve"> and the amount is not sufficient to finance all projects, priority shall be given to projects which score higher on the first priority selection criterion and, where projects are scored equally on this priority criterion, priority shall be given to projects which score higher on the next consecutive priority criterion. If all priority projects are evaluated in the same way and the amount of the call for proposals is insufficient to finance all of them,</w:t>
      </w:r>
      <w:r w:rsidR="002B7F47" w:rsidRPr="00C540E2">
        <w:rPr>
          <w:rFonts w:ascii="Times New Roman" w:hAnsi="Times New Roman" w:cs="Times New Roman"/>
          <w:sz w:val="24"/>
          <w:szCs w:val="24"/>
          <w:lang w:val="en-GB"/>
        </w:rPr>
        <w:t xml:space="preserve"> they shall be arranged in sequence according to the time of receipt of an application via DMS (entering the application received the earliest first</w:t>
      </w:r>
      <w:r w:rsidR="00EF6F05" w:rsidRPr="00C540E2">
        <w:rPr>
          <w:rFonts w:ascii="Times New Roman" w:hAnsi="Times New Roman" w:cs="Times New Roman"/>
          <w:sz w:val="24"/>
          <w:szCs w:val="24"/>
          <w:lang w:val="en-GB"/>
        </w:rPr>
        <w:t>)</w:t>
      </w:r>
      <w:r w:rsidR="004D31D3" w:rsidRPr="00C540E2">
        <w:rPr>
          <w:rFonts w:ascii="Times New Roman" w:hAnsi="Times New Roman" w:cs="Times New Roman"/>
          <w:sz w:val="24"/>
          <w:szCs w:val="24"/>
          <w:lang w:val="en-GB"/>
        </w:rPr>
        <w:t>.</w:t>
      </w:r>
      <w:r w:rsidR="00A75CA3" w:rsidRPr="00C540E2">
        <w:rPr>
          <w:rFonts w:ascii="Times New Roman" w:hAnsi="Times New Roman" w:cs="Times New Roman"/>
          <w:sz w:val="24"/>
          <w:szCs w:val="24"/>
          <w:lang w:val="en-GB"/>
        </w:rPr>
        <w:t xml:space="preserve"> </w:t>
      </w:r>
      <w:r w:rsidR="002B7F47" w:rsidRPr="00C540E2">
        <w:rPr>
          <w:rFonts w:ascii="Times New Roman" w:hAnsi="Times New Roman" w:cs="Times New Roman"/>
          <w:sz w:val="24"/>
          <w:szCs w:val="24"/>
          <w:lang w:val="en-GB"/>
        </w:rPr>
        <w:t>Where the evaluation score of two evaluators differs by more than 30 percent</w:t>
      </w:r>
      <w:r w:rsidR="00872A58" w:rsidRPr="00C540E2">
        <w:rPr>
          <w:rFonts w:ascii="Times New Roman" w:hAnsi="Times New Roman" w:cs="Times New Roman"/>
          <w:sz w:val="24"/>
          <w:szCs w:val="24"/>
          <w:lang w:val="en-GB"/>
        </w:rPr>
        <w:t xml:space="preserve"> of the </w:t>
      </w:r>
      <w:r w:rsidR="00A122E7" w:rsidRPr="00C540E2">
        <w:rPr>
          <w:rFonts w:ascii="Times New Roman" w:hAnsi="Times New Roman" w:cs="Times New Roman"/>
          <w:sz w:val="24"/>
          <w:szCs w:val="24"/>
          <w:lang w:val="en-GB"/>
        </w:rPr>
        <w:t xml:space="preserve">higher </w:t>
      </w:r>
      <w:r w:rsidR="00872A58" w:rsidRPr="00C540E2">
        <w:rPr>
          <w:rFonts w:ascii="Times New Roman" w:hAnsi="Times New Roman" w:cs="Times New Roman"/>
          <w:sz w:val="24"/>
          <w:szCs w:val="24"/>
          <w:lang w:val="en-GB"/>
        </w:rPr>
        <w:t>score</w:t>
      </w:r>
      <w:r w:rsidR="002B7F47" w:rsidRPr="00C540E2">
        <w:rPr>
          <w:rFonts w:ascii="Times New Roman" w:hAnsi="Times New Roman" w:cs="Times New Roman"/>
          <w:sz w:val="24"/>
          <w:szCs w:val="24"/>
          <w:lang w:val="en-GB"/>
        </w:rPr>
        <w:t>, then the CPMA shall appoint the third independent evaluator. In such a case, the project shall be given a score of an average of two score</w:t>
      </w:r>
      <w:r w:rsidR="00E63496" w:rsidRPr="00C540E2">
        <w:rPr>
          <w:rFonts w:ascii="Times New Roman" w:hAnsi="Times New Roman" w:cs="Times New Roman"/>
          <w:sz w:val="24"/>
          <w:szCs w:val="24"/>
          <w:lang w:val="en-GB"/>
        </w:rPr>
        <w:t>s</w:t>
      </w:r>
      <w:r w:rsidR="002B7F47" w:rsidRPr="00C540E2">
        <w:rPr>
          <w:rFonts w:ascii="Times New Roman" w:hAnsi="Times New Roman" w:cs="Times New Roman"/>
          <w:sz w:val="24"/>
          <w:szCs w:val="24"/>
          <w:lang w:val="en-GB"/>
        </w:rPr>
        <w:t xml:space="preserve"> that came the closest</w:t>
      </w:r>
      <w:r w:rsidR="009043CA" w:rsidRPr="00C540E2">
        <w:rPr>
          <w:rFonts w:ascii="Times New Roman" w:hAnsi="Times New Roman" w:cs="Times New Roman"/>
          <w:sz w:val="24"/>
          <w:szCs w:val="24"/>
          <w:lang w:val="en-GB"/>
        </w:rPr>
        <w:t>.</w:t>
      </w:r>
      <w:r w:rsidR="004857EE" w:rsidRPr="00C540E2">
        <w:rPr>
          <w:rFonts w:ascii="Times New Roman" w:hAnsi="Times New Roman" w:cs="Times New Roman"/>
          <w:sz w:val="24"/>
          <w:szCs w:val="24"/>
          <w:lang w:val="en-GB"/>
        </w:rPr>
        <w:t xml:space="preserve"> </w:t>
      </w:r>
    </w:p>
    <w:bookmarkEnd w:id="15"/>
    <w:p w14:paraId="29A02542" w14:textId="767710CF" w:rsidR="00851DE8" w:rsidRPr="00C540E2" w:rsidRDefault="00851DE8"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Application</w:t>
      </w:r>
      <w:r w:rsidR="00E63496" w:rsidRPr="00C540E2">
        <w:rPr>
          <w:rFonts w:ascii="Times New Roman" w:hAnsi="Times New Roman" w:cs="Times New Roman"/>
          <w:sz w:val="24"/>
          <w:szCs w:val="24"/>
          <w:lang w:val="en-GB"/>
        </w:rPr>
        <w:t>s</w:t>
      </w:r>
      <w:r w:rsidRPr="00C540E2">
        <w:rPr>
          <w:rFonts w:ascii="Times New Roman" w:hAnsi="Times New Roman" w:cs="Times New Roman"/>
          <w:sz w:val="24"/>
          <w:szCs w:val="24"/>
          <w:lang w:val="en-GB"/>
        </w:rPr>
        <w:t xml:space="preserve"> shall be evaluated</w:t>
      </w:r>
      <w:r w:rsidR="00E63496" w:rsidRPr="00C540E2">
        <w:rPr>
          <w:rFonts w:ascii="Times New Roman" w:hAnsi="Times New Roman" w:cs="Times New Roman"/>
          <w:sz w:val="24"/>
          <w:szCs w:val="24"/>
          <w:lang w:val="en-GB"/>
        </w:rPr>
        <w:t xml:space="preserve"> for</w:t>
      </w:r>
      <w:r w:rsidRPr="00C540E2">
        <w:rPr>
          <w:rFonts w:ascii="Times New Roman" w:hAnsi="Times New Roman" w:cs="Times New Roman"/>
          <w:sz w:val="24"/>
          <w:szCs w:val="24"/>
          <w:lang w:val="en-GB"/>
        </w:rPr>
        <w:t xml:space="preserve"> no more than 90 </w:t>
      </w:r>
      <w:r w:rsidR="001E353D">
        <w:rPr>
          <w:rFonts w:ascii="Times New Roman" w:hAnsi="Times New Roman" w:cs="Times New Roman"/>
          <w:sz w:val="24"/>
          <w:szCs w:val="24"/>
          <w:lang w:val="en-GB"/>
        </w:rPr>
        <w:t xml:space="preserve">working </w:t>
      </w:r>
      <w:r w:rsidRPr="00C540E2">
        <w:rPr>
          <w:rFonts w:ascii="Times New Roman" w:hAnsi="Times New Roman" w:cs="Times New Roman"/>
          <w:sz w:val="24"/>
          <w:szCs w:val="24"/>
          <w:lang w:val="en-GB"/>
        </w:rPr>
        <w:t>days after the deadline for the submission of applications specified in the call for applications</w:t>
      </w:r>
      <w:r w:rsidR="00094DFA" w:rsidRPr="00C540E2">
        <w:rPr>
          <w:rFonts w:ascii="Times New Roman" w:hAnsi="Times New Roman" w:cs="Times New Roman"/>
          <w:sz w:val="24"/>
          <w:szCs w:val="24"/>
          <w:lang w:val="en-GB"/>
        </w:rPr>
        <w:t>.</w:t>
      </w:r>
    </w:p>
    <w:p w14:paraId="13ECD565" w14:textId="0CF8B6BE" w:rsidR="005C66EC" w:rsidRPr="00C540E2" w:rsidRDefault="00851DE8"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The evaluation term may be extended by a decision of the CPMA, if</w:t>
      </w:r>
      <w:r w:rsidR="005C66EC" w:rsidRPr="00C540E2">
        <w:rPr>
          <w:rFonts w:ascii="Times New Roman" w:hAnsi="Times New Roman" w:cs="Times New Roman"/>
          <w:sz w:val="24"/>
          <w:szCs w:val="24"/>
          <w:lang w:val="en-GB"/>
        </w:rPr>
        <w:t>:</w:t>
      </w:r>
    </w:p>
    <w:p w14:paraId="24CD4701" w14:textId="147FDB7D" w:rsidR="00BD0800" w:rsidRPr="00C540E2" w:rsidRDefault="00094DFA" w:rsidP="00C540E2">
      <w:pPr>
        <w:pStyle w:val="ListParagraph"/>
        <w:numPr>
          <w:ilvl w:val="1"/>
          <w:numId w:val="12"/>
        </w:numPr>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in </w:t>
      </w:r>
      <w:r w:rsidR="00BD0800" w:rsidRPr="00C540E2">
        <w:rPr>
          <w:rFonts w:ascii="Times New Roman" w:hAnsi="Times New Roman" w:cs="Times New Roman"/>
          <w:sz w:val="24"/>
          <w:szCs w:val="24"/>
          <w:lang w:val="en-GB"/>
        </w:rPr>
        <w:t xml:space="preserve">case more than 100 </w:t>
      </w:r>
      <w:r w:rsidRPr="00C540E2">
        <w:rPr>
          <w:rFonts w:ascii="Times New Roman" w:hAnsi="Times New Roman" w:cs="Times New Roman"/>
          <w:sz w:val="24"/>
          <w:szCs w:val="24"/>
          <w:lang w:val="en-GB"/>
        </w:rPr>
        <w:t>applications were received;</w:t>
      </w:r>
    </w:p>
    <w:p w14:paraId="25FEFF64" w14:textId="2BF414C7" w:rsidR="00C90EC6" w:rsidRPr="00C540E2" w:rsidRDefault="00BD0800" w:rsidP="00C540E2">
      <w:pPr>
        <w:pStyle w:val="ListParagraph"/>
        <w:numPr>
          <w:ilvl w:val="1"/>
          <w:numId w:val="12"/>
        </w:numPr>
        <w:spacing w:after="120" w:line="240" w:lineRule="auto"/>
        <w:ind w:left="993" w:hanging="567"/>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in the evaluation of applications, </w:t>
      </w:r>
      <w:r w:rsidR="00002B9F" w:rsidRPr="00C540E2">
        <w:rPr>
          <w:rFonts w:ascii="Times New Roman" w:hAnsi="Times New Roman" w:cs="Times New Roman"/>
          <w:sz w:val="24"/>
          <w:szCs w:val="24"/>
          <w:lang w:val="en-GB"/>
        </w:rPr>
        <w:t xml:space="preserve">Financial Mechanism </w:t>
      </w:r>
      <w:r w:rsidR="003F38DD" w:rsidRPr="00C540E2">
        <w:rPr>
          <w:rFonts w:ascii="Times New Roman" w:hAnsi="Times New Roman" w:cs="Times New Roman"/>
          <w:sz w:val="24"/>
          <w:szCs w:val="24"/>
          <w:lang w:val="en-GB"/>
        </w:rPr>
        <w:t>Office</w:t>
      </w:r>
      <w:r w:rsidR="00002B9F" w:rsidRPr="00C540E2">
        <w:rPr>
          <w:rFonts w:ascii="Times New Roman" w:hAnsi="Times New Roman" w:cs="Times New Roman"/>
          <w:sz w:val="24"/>
          <w:szCs w:val="24"/>
          <w:lang w:val="en-GB"/>
        </w:rPr>
        <w:t>, Program Partner, Coordinating Authority</w:t>
      </w:r>
      <w:r w:rsidR="00002B9F" w:rsidRPr="00C540E2" w:rsidDel="00002B9F">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or other related authorities were addressed for interpretation of certain evaluation provisions. In such a case, the evaluation term shall be extended for the period of time, which passed from the referral date till the day when a response was received</w:t>
      </w:r>
      <w:r w:rsidR="005C66EC" w:rsidRPr="00C540E2">
        <w:rPr>
          <w:rFonts w:ascii="Times New Roman" w:hAnsi="Times New Roman" w:cs="Times New Roman"/>
          <w:sz w:val="24"/>
          <w:szCs w:val="24"/>
          <w:lang w:val="en-GB"/>
        </w:rPr>
        <w:t>.</w:t>
      </w:r>
    </w:p>
    <w:p w14:paraId="725388BC" w14:textId="68F3DE06" w:rsidR="00C90EC6" w:rsidRPr="00C540E2" w:rsidRDefault="00BD0800"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lastRenderedPageBreak/>
        <w:t xml:space="preserve">The CPMA shall make a decision on financing </w:t>
      </w:r>
      <w:r w:rsidR="00C42228" w:rsidRPr="00C540E2">
        <w:rPr>
          <w:rFonts w:ascii="Times New Roman" w:hAnsi="Times New Roman" w:cs="Times New Roman"/>
          <w:sz w:val="24"/>
          <w:szCs w:val="24"/>
          <w:lang w:val="en-GB"/>
        </w:rPr>
        <w:t xml:space="preserve">of </w:t>
      </w:r>
      <w:r w:rsidRPr="00C540E2">
        <w:rPr>
          <w:rFonts w:ascii="Times New Roman" w:hAnsi="Times New Roman" w:cs="Times New Roman"/>
          <w:sz w:val="24"/>
          <w:szCs w:val="24"/>
          <w:lang w:val="en-GB"/>
        </w:rPr>
        <w:t>projects, which were approved by the project selection committee and which are in line with the requirements of evaluation of project benefit and quality, project eligibility and administrative compliance</w:t>
      </w:r>
      <w:r w:rsidR="00143627" w:rsidRPr="00C540E2">
        <w:rPr>
          <w:rFonts w:ascii="Times New Roman" w:hAnsi="Times New Roman" w:cs="Times New Roman"/>
          <w:sz w:val="24"/>
          <w:szCs w:val="24"/>
          <w:lang w:val="en-GB"/>
        </w:rPr>
        <w:t>.</w:t>
      </w:r>
    </w:p>
    <w:p w14:paraId="4FDD7E24" w14:textId="66AAA25F" w:rsidR="004857EE" w:rsidRPr="00C540E2" w:rsidRDefault="00BD0800"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Applications shall be rejected </w:t>
      </w:r>
      <w:r w:rsidR="007340ED" w:rsidRPr="00C540E2">
        <w:rPr>
          <w:rFonts w:ascii="Times New Roman" w:hAnsi="Times New Roman" w:cs="Times New Roman"/>
          <w:sz w:val="24"/>
          <w:szCs w:val="24"/>
          <w:lang w:val="en-GB"/>
        </w:rPr>
        <w:t>if it is determined that</w:t>
      </w:r>
      <w:r w:rsidR="00A46041" w:rsidRPr="00C540E2">
        <w:rPr>
          <w:rFonts w:ascii="Times New Roman" w:hAnsi="Times New Roman" w:cs="Times New Roman"/>
          <w:sz w:val="24"/>
          <w:szCs w:val="24"/>
          <w:lang w:val="en-GB"/>
        </w:rPr>
        <w:t xml:space="preserve">: </w:t>
      </w:r>
    </w:p>
    <w:p w14:paraId="5DC679A7" w14:textId="537474A5" w:rsidR="00980CC5" w:rsidRPr="00C540E2" w:rsidRDefault="00BD0800"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same </w:t>
      </w:r>
      <w:r w:rsidR="00A1799F"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pplicant has submitted more than one application</w:t>
      </w:r>
      <w:r w:rsidR="00980CC5" w:rsidRPr="00C540E2">
        <w:rPr>
          <w:rFonts w:ascii="Times New Roman" w:hAnsi="Times New Roman" w:cs="Times New Roman"/>
          <w:sz w:val="24"/>
          <w:szCs w:val="24"/>
          <w:lang w:val="en-GB"/>
        </w:rPr>
        <w:t>;</w:t>
      </w:r>
    </w:p>
    <w:p w14:paraId="4D44663A" w14:textId="3EFC96EF" w:rsidR="00A46041" w:rsidRPr="00C540E2" w:rsidRDefault="00C42228"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w:t>
      </w:r>
      <w:r w:rsidR="00BD0800" w:rsidRPr="00C540E2">
        <w:rPr>
          <w:rFonts w:ascii="Times New Roman" w:hAnsi="Times New Roman" w:cs="Times New Roman"/>
          <w:sz w:val="24"/>
          <w:szCs w:val="24"/>
          <w:lang w:val="en-GB"/>
        </w:rPr>
        <w:t xml:space="preserve">he application </w:t>
      </w:r>
      <w:r w:rsidRPr="00C540E2">
        <w:rPr>
          <w:rFonts w:ascii="Times New Roman" w:hAnsi="Times New Roman" w:cs="Times New Roman"/>
          <w:sz w:val="24"/>
          <w:szCs w:val="24"/>
          <w:lang w:val="en-GB"/>
        </w:rPr>
        <w:t xml:space="preserve">does not meet at least </w:t>
      </w:r>
      <w:r w:rsidR="00BD0800" w:rsidRPr="00C540E2">
        <w:rPr>
          <w:rFonts w:ascii="Times New Roman" w:hAnsi="Times New Roman" w:cs="Times New Roman"/>
          <w:sz w:val="24"/>
          <w:szCs w:val="24"/>
          <w:lang w:val="en-GB"/>
        </w:rPr>
        <w:t xml:space="preserve">one general or special project </w:t>
      </w:r>
      <w:r w:rsidR="00A1799F" w:rsidRPr="00C540E2">
        <w:rPr>
          <w:rFonts w:ascii="Times New Roman" w:hAnsi="Times New Roman" w:cs="Times New Roman"/>
          <w:sz w:val="24"/>
          <w:szCs w:val="24"/>
          <w:lang w:val="en-GB"/>
        </w:rPr>
        <w:t>compliance</w:t>
      </w:r>
      <w:r w:rsidR="00BD0800" w:rsidRPr="00C540E2">
        <w:rPr>
          <w:rFonts w:ascii="Times New Roman" w:hAnsi="Times New Roman" w:cs="Times New Roman"/>
          <w:sz w:val="24"/>
          <w:szCs w:val="24"/>
          <w:lang w:val="en-GB"/>
        </w:rPr>
        <w:t xml:space="preserve"> criterion (eligibility) laid down in Annex </w:t>
      </w:r>
      <w:r w:rsidR="00C422E5" w:rsidRPr="00C540E2">
        <w:rPr>
          <w:rFonts w:ascii="Times New Roman" w:hAnsi="Times New Roman" w:cs="Times New Roman"/>
          <w:sz w:val="24"/>
          <w:szCs w:val="24"/>
          <w:lang w:val="en-GB"/>
        </w:rPr>
        <w:t>4</w:t>
      </w:r>
      <w:r w:rsidR="00BD0800" w:rsidRPr="00C540E2">
        <w:rPr>
          <w:rFonts w:ascii="Times New Roman" w:hAnsi="Times New Roman" w:cs="Times New Roman"/>
          <w:sz w:val="24"/>
          <w:szCs w:val="24"/>
          <w:lang w:val="en-GB"/>
        </w:rPr>
        <w:t xml:space="preserve"> to the Guidelines; </w:t>
      </w:r>
    </w:p>
    <w:p w14:paraId="2BC5AD87" w14:textId="146EDDC2" w:rsidR="00A46041" w:rsidRPr="00C540E2" w:rsidRDefault="007340ED"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w:t>
      </w:r>
      <w:r w:rsidR="00BD0800" w:rsidRPr="00C540E2">
        <w:rPr>
          <w:rFonts w:ascii="Times New Roman" w:hAnsi="Times New Roman" w:cs="Times New Roman"/>
          <w:sz w:val="24"/>
          <w:szCs w:val="24"/>
          <w:lang w:val="en-GB"/>
        </w:rPr>
        <w:t xml:space="preserve">he </w:t>
      </w:r>
      <w:r w:rsidR="00A1799F" w:rsidRPr="00C540E2">
        <w:rPr>
          <w:rFonts w:ascii="Times New Roman" w:hAnsi="Times New Roman" w:cs="Times New Roman"/>
          <w:sz w:val="24"/>
          <w:szCs w:val="24"/>
          <w:lang w:val="en-GB"/>
        </w:rPr>
        <w:t>A</w:t>
      </w:r>
      <w:r w:rsidR="00BD0800" w:rsidRPr="00C540E2">
        <w:rPr>
          <w:rFonts w:ascii="Times New Roman" w:hAnsi="Times New Roman" w:cs="Times New Roman"/>
          <w:sz w:val="24"/>
          <w:szCs w:val="24"/>
          <w:lang w:val="en-GB"/>
        </w:rPr>
        <w:t xml:space="preserve">pplicant </w:t>
      </w:r>
      <w:r w:rsidRPr="00C540E2">
        <w:rPr>
          <w:rFonts w:ascii="Times New Roman" w:hAnsi="Times New Roman" w:cs="Times New Roman"/>
          <w:sz w:val="24"/>
          <w:szCs w:val="24"/>
          <w:lang w:val="en-GB"/>
        </w:rPr>
        <w:t xml:space="preserve">does not </w:t>
      </w:r>
      <w:r w:rsidR="00BD0800" w:rsidRPr="00C540E2">
        <w:rPr>
          <w:rFonts w:ascii="Times New Roman" w:hAnsi="Times New Roman" w:cs="Times New Roman"/>
          <w:sz w:val="24"/>
          <w:szCs w:val="24"/>
          <w:lang w:val="en-GB"/>
        </w:rPr>
        <w:t xml:space="preserve">meet at least one administrative compliance criterion indicated in Annex </w:t>
      </w:r>
      <w:r w:rsidR="00C422E5" w:rsidRPr="00C540E2">
        <w:rPr>
          <w:rFonts w:ascii="Times New Roman" w:hAnsi="Times New Roman" w:cs="Times New Roman"/>
          <w:sz w:val="24"/>
          <w:szCs w:val="24"/>
          <w:lang w:val="en-GB"/>
        </w:rPr>
        <w:t>3</w:t>
      </w:r>
      <w:r w:rsidR="00BD0800" w:rsidRPr="00C540E2">
        <w:rPr>
          <w:rFonts w:ascii="Times New Roman" w:hAnsi="Times New Roman" w:cs="Times New Roman"/>
          <w:sz w:val="24"/>
          <w:szCs w:val="24"/>
          <w:lang w:val="en-GB"/>
        </w:rPr>
        <w:t xml:space="preserve"> to the Guidelines; </w:t>
      </w:r>
    </w:p>
    <w:p w14:paraId="4EB765FE" w14:textId="5041AF66" w:rsidR="007315EC" w:rsidRPr="00C540E2" w:rsidRDefault="007340ED"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T</w:t>
      </w:r>
      <w:r w:rsidR="002D59A4" w:rsidRPr="00C540E2">
        <w:rPr>
          <w:rFonts w:ascii="Times New Roman" w:hAnsi="Times New Roman" w:cs="Times New Roman"/>
          <w:sz w:val="24"/>
          <w:szCs w:val="24"/>
          <w:lang w:val="en-GB"/>
        </w:rPr>
        <w:t xml:space="preserve">he </w:t>
      </w:r>
      <w:r w:rsidR="00A1799F" w:rsidRPr="00C540E2">
        <w:rPr>
          <w:rFonts w:ascii="Times New Roman" w:hAnsi="Times New Roman" w:cs="Times New Roman"/>
          <w:sz w:val="24"/>
          <w:szCs w:val="24"/>
          <w:lang w:val="en-GB"/>
        </w:rPr>
        <w:t>A</w:t>
      </w:r>
      <w:r w:rsidR="002D59A4" w:rsidRPr="00C540E2">
        <w:rPr>
          <w:rFonts w:ascii="Times New Roman" w:hAnsi="Times New Roman" w:cs="Times New Roman"/>
          <w:sz w:val="24"/>
          <w:szCs w:val="24"/>
          <w:lang w:val="en-GB"/>
        </w:rPr>
        <w:t xml:space="preserve">pplicant submitted misleading information in </w:t>
      </w:r>
      <w:r w:rsidR="00A1799F" w:rsidRPr="00C540E2">
        <w:rPr>
          <w:rFonts w:ascii="Times New Roman" w:hAnsi="Times New Roman" w:cs="Times New Roman"/>
          <w:sz w:val="24"/>
          <w:szCs w:val="24"/>
          <w:lang w:val="en-GB"/>
        </w:rPr>
        <w:t>its</w:t>
      </w:r>
      <w:r w:rsidR="002D59A4" w:rsidRPr="00C540E2">
        <w:rPr>
          <w:rFonts w:ascii="Times New Roman" w:hAnsi="Times New Roman" w:cs="Times New Roman"/>
          <w:sz w:val="24"/>
          <w:szCs w:val="24"/>
          <w:lang w:val="en-GB"/>
        </w:rPr>
        <w:t xml:space="preserve"> application, or the </w:t>
      </w:r>
      <w:r w:rsidR="00A1799F" w:rsidRPr="00C540E2">
        <w:rPr>
          <w:rFonts w:ascii="Times New Roman" w:hAnsi="Times New Roman" w:cs="Times New Roman"/>
          <w:sz w:val="24"/>
          <w:szCs w:val="24"/>
          <w:lang w:val="en-GB"/>
        </w:rPr>
        <w:t>A</w:t>
      </w:r>
      <w:r w:rsidR="002D59A4" w:rsidRPr="00C540E2">
        <w:rPr>
          <w:rFonts w:ascii="Times New Roman" w:hAnsi="Times New Roman" w:cs="Times New Roman"/>
          <w:sz w:val="24"/>
          <w:szCs w:val="24"/>
          <w:lang w:val="en-GB"/>
        </w:rPr>
        <w:t>pplicant or persons related to the application (the project planned for implementation) seek to receive information, which the CPMA considers to be confidential, or to unlawfully exert influence on evaluation results or evaluators</w:t>
      </w:r>
      <w:r w:rsidR="007315EC" w:rsidRPr="00C540E2">
        <w:rPr>
          <w:rFonts w:ascii="Times New Roman" w:hAnsi="Times New Roman" w:cs="Times New Roman"/>
          <w:sz w:val="24"/>
          <w:szCs w:val="24"/>
          <w:lang w:val="en-GB"/>
        </w:rPr>
        <w:t>;</w:t>
      </w:r>
    </w:p>
    <w:p w14:paraId="521A1D0D" w14:textId="2D892657" w:rsidR="007315EC" w:rsidRPr="00C540E2" w:rsidRDefault="00D04494"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project scores less than </w:t>
      </w:r>
      <w:r w:rsidR="00C422E5" w:rsidRPr="00C540E2">
        <w:rPr>
          <w:rFonts w:ascii="Times New Roman" w:hAnsi="Times New Roman" w:cs="Times New Roman"/>
          <w:sz w:val="24"/>
          <w:szCs w:val="24"/>
          <w:lang w:val="en-GB"/>
        </w:rPr>
        <w:t>4</w:t>
      </w:r>
      <w:r w:rsidR="00A87796" w:rsidRPr="00C540E2">
        <w:rPr>
          <w:rFonts w:ascii="Times New Roman" w:hAnsi="Times New Roman" w:cs="Times New Roman"/>
          <w:sz w:val="24"/>
          <w:szCs w:val="24"/>
          <w:lang w:val="en-GB"/>
        </w:rPr>
        <w:t>5</w:t>
      </w:r>
      <w:r w:rsidRPr="00C540E2">
        <w:rPr>
          <w:rFonts w:ascii="Times New Roman" w:hAnsi="Times New Roman" w:cs="Times New Roman"/>
          <w:sz w:val="24"/>
          <w:szCs w:val="24"/>
          <w:lang w:val="en-GB"/>
        </w:rPr>
        <w:t xml:space="preserve"> in the evaluation of benefit and quality</w:t>
      </w:r>
      <w:r w:rsidR="007315EC" w:rsidRPr="00C540E2">
        <w:rPr>
          <w:rFonts w:ascii="Times New Roman" w:hAnsi="Times New Roman" w:cs="Times New Roman"/>
          <w:sz w:val="24"/>
          <w:szCs w:val="24"/>
          <w:lang w:val="en-GB"/>
        </w:rPr>
        <w:t>.</w:t>
      </w:r>
    </w:p>
    <w:p w14:paraId="252D7778" w14:textId="08AA6686" w:rsidR="00DD4CE6" w:rsidRPr="00C540E2" w:rsidRDefault="00723B7A" w:rsidP="00C540E2">
      <w:pPr>
        <w:pStyle w:val="ListParagraph"/>
        <w:numPr>
          <w:ilvl w:val="0"/>
          <w:numId w:val="12"/>
        </w:numPr>
        <w:spacing w:after="120" w:line="240" w:lineRule="auto"/>
        <w:jc w:val="both"/>
        <w:rPr>
          <w:rFonts w:ascii="Times New Roman" w:hAnsi="Times New Roman" w:cs="Times New Roman"/>
          <w:sz w:val="24"/>
          <w:szCs w:val="24"/>
          <w:lang w:val="en-GB"/>
        </w:rPr>
      </w:pPr>
      <w:bookmarkStart w:id="16" w:name="_Hlk18089323"/>
      <w:r w:rsidRPr="00C540E2">
        <w:rPr>
          <w:rFonts w:ascii="Times New Roman" w:hAnsi="Times New Roman" w:cs="Times New Roman"/>
          <w:sz w:val="24"/>
          <w:szCs w:val="24"/>
          <w:lang w:val="en-GB"/>
        </w:rPr>
        <w:t xml:space="preserve">The CPMA shall conclude a bilateral project </w:t>
      </w:r>
      <w:r w:rsidR="0081545D" w:rsidRPr="00C540E2">
        <w:rPr>
          <w:rFonts w:ascii="Times New Roman" w:hAnsi="Times New Roman" w:cs="Times New Roman"/>
          <w:sz w:val="24"/>
          <w:szCs w:val="24"/>
          <w:lang w:val="en-GB"/>
        </w:rPr>
        <w:t>contract</w:t>
      </w:r>
      <w:r w:rsidRPr="00C540E2">
        <w:rPr>
          <w:rFonts w:ascii="Times New Roman" w:hAnsi="Times New Roman" w:cs="Times New Roman"/>
          <w:sz w:val="24"/>
          <w:szCs w:val="24"/>
          <w:lang w:val="en-GB"/>
        </w:rPr>
        <w:t xml:space="preserve"> with the </w:t>
      </w:r>
      <w:r w:rsidR="00A1799F"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pplicant whose project has been selected for financing from mechanism and co-financing funds. A project </w:t>
      </w:r>
      <w:r w:rsidR="0081545D" w:rsidRPr="00C540E2">
        <w:rPr>
          <w:rFonts w:ascii="Times New Roman" w:hAnsi="Times New Roman" w:cs="Times New Roman"/>
          <w:sz w:val="24"/>
          <w:szCs w:val="24"/>
          <w:lang w:val="en-GB"/>
        </w:rPr>
        <w:t>contract</w:t>
      </w:r>
      <w:r w:rsidRPr="00C540E2">
        <w:rPr>
          <w:rFonts w:ascii="Times New Roman" w:hAnsi="Times New Roman" w:cs="Times New Roman"/>
          <w:sz w:val="24"/>
          <w:szCs w:val="24"/>
          <w:lang w:val="en-GB"/>
        </w:rPr>
        <w:t xml:space="preserve"> shall comprise general conditions and special conditions</w:t>
      </w:r>
      <w:r w:rsidR="00DD4CE6" w:rsidRPr="00C540E2">
        <w:rPr>
          <w:rFonts w:ascii="Times New Roman" w:hAnsi="Times New Roman" w:cs="Times New Roman"/>
          <w:sz w:val="24"/>
          <w:szCs w:val="24"/>
          <w:lang w:val="en-GB"/>
        </w:rPr>
        <w:t xml:space="preserve">. General conditions are approved by the Decree No. 2019/20-3-1 of the Deputy Director of the CPMA of 1 July 2019 “Regarding approval of the General conditions of the 2014-2021 European Economic Area financial mechanism or 2014-2021 Norwegian mechanism project contract”. Special conditions are laid down in the Annex </w:t>
      </w:r>
      <w:r w:rsidR="00C422E5" w:rsidRPr="00C540E2">
        <w:rPr>
          <w:rFonts w:ascii="Times New Roman" w:hAnsi="Times New Roman" w:cs="Times New Roman"/>
          <w:sz w:val="24"/>
          <w:szCs w:val="24"/>
          <w:lang w:val="en-GB"/>
        </w:rPr>
        <w:t>7 to the Guidelines</w:t>
      </w:r>
      <w:r w:rsidR="00DD4CE6" w:rsidRPr="00C540E2">
        <w:rPr>
          <w:rFonts w:ascii="Times New Roman" w:hAnsi="Times New Roman" w:cs="Times New Roman"/>
          <w:sz w:val="24"/>
          <w:szCs w:val="24"/>
          <w:lang w:val="en-GB"/>
        </w:rPr>
        <w:t xml:space="preserve">. </w:t>
      </w:r>
    </w:p>
    <w:p w14:paraId="361A9FE0" w14:textId="32914386" w:rsidR="0085447B" w:rsidRPr="00C540E2" w:rsidRDefault="0085447B"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If the </w:t>
      </w:r>
      <w:r w:rsidR="00A1799F"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pplicant refuses or fails to sign a project </w:t>
      </w:r>
      <w:r w:rsidR="0081545D" w:rsidRPr="00C540E2">
        <w:rPr>
          <w:rFonts w:ascii="Times New Roman" w:hAnsi="Times New Roman" w:cs="Times New Roman"/>
          <w:sz w:val="24"/>
          <w:szCs w:val="24"/>
          <w:lang w:val="en-GB"/>
        </w:rPr>
        <w:t xml:space="preserve">contract </w:t>
      </w:r>
      <w:r w:rsidRPr="00C540E2">
        <w:rPr>
          <w:rFonts w:ascii="Times New Roman" w:hAnsi="Times New Roman" w:cs="Times New Roman"/>
          <w:sz w:val="24"/>
          <w:szCs w:val="24"/>
          <w:lang w:val="en-GB"/>
        </w:rPr>
        <w:t xml:space="preserve">within the deadline set by the CPMA or fails to fulfil the conditions that must be fulfilled before concluding a project </w:t>
      </w:r>
      <w:r w:rsidR="0081545D" w:rsidRPr="00C540E2">
        <w:rPr>
          <w:rFonts w:ascii="Times New Roman" w:hAnsi="Times New Roman" w:cs="Times New Roman"/>
          <w:sz w:val="24"/>
          <w:szCs w:val="24"/>
          <w:lang w:val="en-GB"/>
        </w:rPr>
        <w:t xml:space="preserve">contract </w:t>
      </w:r>
      <w:r w:rsidRPr="00C540E2">
        <w:rPr>
          <w:rFonts w:ascii="Times New Roman" w:hAnsi="Times New Roman" w:cs="Times New Roman"/>
          <w:sz w:val="24"/>
          <w:szCs w:val="24"/>
          <w:lang w:val="en-GB"/>
        </w:rPr>
        <w:t>within the set period of time (</w:t>
      </w:r>
      <w:r w:rsidR="00A1799F" w:rsidRPr="00C540E2">
        <w:rPr>
          <w:rFonts w:ascii="Times New Roman" w:hAnsi="Times New Roman" w:cs="Times New Roman"/>
          <w:sz w:val="24"/>
          <w:szCs w:val="24"/>
          <w:lang w:val="en-GB"/>
        </w:rPr>
        <w:t>fails</w:t>
      </w:r>
      <w:r w:rsidRPr="00C540E2">
        <w:rPr>
          <w:rFonts w:ascii="Times New Roman" w:hAnsi="Times New Roman" w:cs="Times New Roman"/>
          <w:sz w:val="24"/>
          <w:szCs w:val="24"/>
          <w:lang w:val="en-GB"/>
        </w:rPr>
        <w:t xml:space="preserve"> to fulfil a reservation or submit information and documents proving the fulfilment of the reservation), </w:t>
      </w:r>
      <w:r w:rsidR="0059135A" w:rsidRPr="00C540E2">
        <w:rPr>
          <w:rFonts w:ascii="Times New Roman" w:hAnsi="Times New Roman" w:cs="Times New Roman"/>
          <w:sz w:val="24"/>
          <w:szCs w:val="24"/>
          <w:lang w:val="en-GB"/>
        </w:rPr>
        <w:t xml:space="preserve">the Applicant will be deemed to have refused the Agreement. </w:t>
      </w:r>
    </w:p>
    <w:p w14:paraId="0D8A8441" w14:textId="36EF7410" w:rsidR="004D05A3" w:rsidRPr="00C540E2" w:rsidRDefault="0085447B"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project </w:t>
      </w:r>
      <w:r w:rsidR="0081545D" w:rsidRPr="00C540E2">
        <w:rPr>
          <w:rFonts w:ascii="Times New Roman" w:hAnsi="Times New Roman" w:cs="Times New Roman"/>
          <w:sz w:val="24"/>
          <w:szCs w:val="24"/>
          <w:lang w:val="en-GB"/>
        </w:rPr>
        <w:t>contract</w:t>
      </w:r>
      <w:r w:rsidRPr="00C540E2">
        <w:rPr>
          <w:rFonts w:ascii="Times New Roman" w:hAnsi="Times New Roman" w:cs="Times New Roman"/>
          <w:sz w:val="24"/>
          <w:szCs w:val="24"/>
          <w:lang w:val="en-GB"/>
        </w:rPr>
        <w:t xml:space="preserve"> shall be concluded, modified and terminated in accordance with the provisions of Chapter XVII</w:t>
      </w:r>
      <w:r w:rsidR="0059135A" w:rsidRPr="00C540E2">
        <w:rPr>
          <w:rFonts w:ascii="Times New Roman" w:hAnsi="Times New Roman" w:cs="Times New Roman"/>
          <w:sz w:val="24"/>
          <w:szCs w:val="24"/>
          <w:lang w:val="en-GB"/>
        </w:rPr>
        <w:t>I</w:t>
      </w:r>
      <w:r w:rsidRPr="00C540E2">
        <w:rPr>
          <w:rFonts w:ascii="Times New Roman" w:hAnsi="Times New Roman" w:cs="Times New Roman"/>
          <w:sz w:val="24"/>
          <w:szCs w:val="24"/>
          <w:lang w:val="en-GB"/>
        </w:rPr>
        <w:t xml:space="preserve"> of the MAFR</w:t>
      </w:r>
      <w:r w:rsidR="00371FBE" w:rsidRPr="00C540E2">
        <w:rPr>
          <w:rFonts w:ascii="Times New Roman" w:hAnsi="Times New Roman" w:cs="Times New Roman"/>
          <w:sz w:val="24"/>
          <w:szCs w:val="24"/>
          <w:lang w:val="en-GB"/>
        </w:rPr>
        <w:t xml:space="preserve">. </w:t>
      </w:r>
      <w:bookmarkStart w:id="17" w:name="_Hlk18089393"/>
      <w:bookmarkEnd w:id="16"/>
    </w:p>
    <w:p w14:paraId="3B011942" w14:textId="77777777" w:rsidR="0085447B" w:rsidRPr="00C540E2" w:rsidRDefault="0085447B" w:rsidP="00C540E2">
      <w:pPr>
        <w:pStyle w:val="ListParagraph"/>
        <w:spacing w:after="120" w:line="240" w:lineRule="auto"/>
        <w:ind w:left="360"/>
        <w:jc w:val="both"/>
        <w:rPr>
          <w:rFonts w:ascii="Times New Roman" w:hAnsi="Times New Roman" w:cs="Times New Roman"/>
          <w:sz w:val="24"/>
          <w:szCs w:val="24"/>
          <w:lang w:val="en-GB"/>
        </w:rPr>
      </w:pPr>
    </w:p>
    <w:bookmarkEnd w:id="17"/>
    <w:p w14:paraId="632ECEB7" w14:textId="296E1090" w:rsidR="002B3D48" w:rsidRPr="00C540E2" w:rsidRDefault="00071089" w:rsidP="00C540E2">
      <w:pPr>
        <w:pStyle w:val="ListParagraph"/>
        <w:numPr>
          <w:ilvl w:val="0"/>
          <w:numId w:val="1"/>
        </w:numPr>
        <w:spacing w:after="120" w:line="240" w:lineRule="auto"/>
        <w:jc w:val="center"/>
        <w:rPr>
          <w:rFonts w:ascii="Times New Roman" w:hAnsi="Times New Roman" w:cs="Times New Roman"/>
          <w:b/>
          <w:bCs/>
          <w:sz w:val="24"/>
          <w:szCs w:val="24"/>
          <w:lang w:val="en-GB"/>
        </w:rPr>
      </w:pPr>
      <w:r w:rsidRPr="00C540E2">
        <w:rPr>
          <w:rFonts w:ascii="Times New Roman" w:hAnsi="Times New Roman" w:cs="Times New Roman"/>
          <w:b/>
          <w:bCs/>
          <w:sz w:val="24"/>
          <w:szCs w:val="24"/>
          <w:lang w:val="en-GB"/>
        </w:rPr>
        <w:t>FINAL PROVISIONS</w:t>
      </w:r>
    </w:p>
    <w:p w14:paraId="3B3F560B" w14:textId="77777777" w:rsidR="00310892" w:rsidRPr="00C540E2" w:rsidRDefault="00310892" w:rsidP="00C540E2">
      <w:pPr>
        <w:pStyle w:val="ListParagraph"/>
        <w:spacing w:after="120" w:line="240" w:lineRule="auto"/>
        <w:ind w:left="1080"/>
        <w:rPr>
          <w:rFonts w:ascii="Times New Roman" w:hAnsi="Times New Roman" w:cs="Times New Roman"/>
          <w:b/>
          <w:bCs/>
          <w:sz w:val="24"/>
          <w:szCs w:val="24"/>
          <w:lang w:val="en-GB"/>
        </w:rPr>
      </w:pPr>
    </w:p>
    <w:p w14:paraId="6C106786" w14:textId="03BD2423" w:rsidR="00310892" w:rsidRPr="00C540E2" w:rsidRDefault="0007108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The </w:t>
      </w:r>
      <w:r w:rsidR="00A1799F"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pplicant </w:t>
      </w:r>
      <w:r w:rsidR="0059135A" w:rsidRPr="00C540E2">
        <w:rPr>
          <w:rFonts w:ascii="Times New Roman" w:hAnsi="Times New Roman" w:cs="Times New Roman"/>
          <w:sz w:val="24"/>
          <w:szCs w:val="24"/>
          <w:lang w:val="en-GB"/>
        </w:rPr>
        <w:t xml:space="preserve">(Project promoter) </w:t>
      </w:r>
      <w:r w:rsidRPr="00C540E2">
        <w:rPr>
          <w:rFonts w:ascii="Times New Roman" w:hAnsi="Times New Roman" w:cs="Times New Roman"/>
          <w:sz w:val="24"/>
          <w:szCs w:val="24"/>
          <w:lang w:val="en-GB"/>
        </w:rPr>
        <w:t>may appeal CPMA’s decisions in accordance with the procedure laid down in clause 429 of the MAFR</w:t>
      </w:r>
      <w:r w:rsidR="00371FBE" w:rsidRPr="00C540E2">
        <w:rPr>
          <w:rFonts w:ascii="Times New Roman" w:hAnsi="Times New Roman" w:cs="Times New Roman"/>
          <w:sz w:val="24"/>
          <w:szCs w:val="24"/>
          <w:lang w:val="en-GB"/>
        </w:rPr>
        <w:t>.</w:t>
      </w:r>
    </w:p>
    <w:p w14:paraId="32AECD9E" w14:textId="2A1DD263" w:rsidR="00391D41" w:rsidRPr="00C540E2" w:rsidRDefault="00071089" w:rsidP="00C540E2">
      <w:pPr>
        <w:pStyle w:val="ListParagraph"/>
        <w:numPr>
          <w:ilvl w:val="0"/>
          <w:numId w:val="12"/>
        </w:numPr>
        <w:spacing w:after="120" w:line="240" w:lineRule="auto"/>
        <w:rPr>
          <w:rFonts w:ascii="Times New Roman" w:hAnsi="Times New Roman" w:cs="Times New Roman"/>
          <w:b/>
          <w:bCs/>
          <w:sz w:val="24"/>
          <w:szCs w:val="24"/>
          <w:lang w:val="en-GB"/>
        </w:rPr>
      </w:pPr>
      <w:r w:rsidRPr="00C540E2">
        <w:rPr>
          <w:rFonts w:ascii="Times New Roman" w:hAnsi="Times New Roman" w:cs="Times New Roman"/>
          <w:b/>
          <w:bCs/>
          <w:sz w:val="24"/>
          <w:szCs w:val="24"/>
          <w:lang w:val="en-GB"/>
        </w:rPr>
        <w:t>Annexes to the Guidelines</w:t>
      </w:r>
      <w:r w:rsidR="00310892" w:rsidRPr="00C540E2">
        <w:rPr>
          <w:rFonts w:ascii="Times New Roman" w:hAnsi="Times New Roman" w:cs="Times New Roman"/>
          <w:b/>
          <w:bCs/>
          <w:sz w:val="24"/>
          <w:szCs w:val="24"/>
          <w:lang w:val="en-GB"/>
        </w:rPr>
        <w:t>:</w:t>
      </w:r>
    </w:p>
    <w:p w14:paraId="77877123" w14:textId="09BEE800" w:rsidR="00C422E5" w:rsidRPr="00C540E2" w:rsidRDefault="00A8779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Description of the Model for the Provision of Youth-friendly Healthcare Services and of Coordination at National Level</w:t>
      </w:r>
      <w:r w:rsidR="00C95D5D" w:rsidRPr="00C540E2">
        <w:rPr>
          <w:rFonts w:ascii="Times New Roman" w:hAnsi="Times New Roman" w:cs="Times New Roman"/>
          <w:sz w:val="24"/>
          <w:szCs w:val="24"/>
          <w:lang w:val="en-GB"/>
        </w:rPr>
        <w:t>, Annex 1</w:t>
      </w:r>
    </w:p>
    <w:p w14:paraId="66B4554D" w14:textId="21C8C8BE" w:rsidR="00AA0DC3" w:rsidRPr="00C540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Typical </w:t>
      </w:r>
      <w:r w:rsidR="00157D96" w:rsidRPr="00C540E2">
        <w:rPr>
          <w:rFonts w:ascii="Times New Roman" w:hAnsi="Times New Roman" w:cs="Times New Roman"/>
          <w:sz w:val="24"/>
          <w:szCs w:val="24"/>
          <w:lang w:val="en-GB"/>
        </w:rPr>
        <w:t>P</w:t>
      </w:r>
      <w:r w:rsidRPr="00C540E2">
        <w:rPr>
          <w:rFonts w:ascii="Times New Roman" w:hAnsi="Times New Roman" w:cs="Times New Roman"/>
          <w:sz w:val="24"/>
          <w:szCs w:val="24"/>
          <w:lang w:val="en-GB"/>
        </w:rPr>
        <w:t xml:space="preserve">roject </w:t>
      </w:r>
      <w:r w:rsidR="00157D96" w:rsidRPr="00C540E2">
        <w:rPr>
          <w:rFonts w:ascii="Times New Roman" w:hAnsi="Times New Roman" w:cs="Times New Roman"/>
          <w:sz w:val="24"/>
          <w:szCs w:val="24"/>
          <w:lang w:val="en-GB"/>
        </w:rPr>
        <w:t>A</w:t>
      </w:r>
      <w:r w:rsidRPr="00C540E2">
        <w:rPr>
          <w:rFonts w:ascii="Times New Roman" w:hAnsi="Times New Roman" w:cs="Times New Roman"/>
          <w:sz w:val="24"/>
          <w:szCs w:val="24"/>
          <w:lang w:val="en-GB"/>
        </w:rPr>
        <w:t xml:space="preserve">pplication </w:t>
      </w:r>
      <w:r w:rsidR="00157D96" w:rsidRPr="00C540E2">
        <w:rPr>
          <w:rFonts w:ascii="Times New Roman" w:hAnsi="Times New Roman" w:cs="Times New Roman"/>
          <w:sz w:val="24"/>
          <w:szCs w:val="24"/>
          <w:lang w:val="en-GB"/>
        </w:rPr>
        <w:t>F</w:t>
      </w:r>
      <w:r w:rsidRPr="00C540E2">
        <w:rPr>
          <w:rFonts w:ascii="Times New Roman" w:hAnsi="Times New Roman" w:cs="Times New Roman"/>
          <w:sz w:val="24"/>
          <w:szCs w:val="24"/>
          <w:lang w:val="en-GB"/>
        </w:rPr>
        <w:t>orm</w:t>
      </w:r>
      <w:r w:rsidR="00AA0DC3"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to be completed via</w:t>
      </w:r>
      <w:r w:rsidR="00AA0DC3"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DMS</w:t>
      </w:r>
      <w:r w:rsidR="00AA0DC3" w:rsidRPr="00C540E2">
        <w:rPr>
          <w:rFonts w:ascii="Times New Roman" w:hAnsi="Times New Roman" w:cs="Times New Roman"/>
          <w:sz w:val="24"/>
          <w:szCs w:val="24"/>
          <w:lang w:val="en-GB"/>
        </w:rPr>
        <w:t xml:space="preserve"> online)</w:t>
      </w:r>
      <w:r w:rsidR="0059135A"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2</w:t>
      </w:r>
      <w:r w:rsidR="0059135A" w:rsidRPr="00C540E2">
        <w:rPr>
          <w:rFonts w:ascii="Times New Roman" w:hAnsi="Times New Roman" w:cs="Times New Roman"/>
          <w:sz w:val="24"/>
          <w:szCs w:val="24"/>
          <w:lang w:val="en-GB"/>
        </w:rPr>
        <w:t>;</w:t>
      </w:r>
    </w:p>
    <w:p w14:paraId="61AB9726" w14:textId="2EC9DF37" w:rsidR="00B677A9" w:rsidRPr="00C540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Administrative </w:t>
      </w:r>
      <w:r w:rsidR="00157D96" w:rsidRPr="00C540E2">
        <w:rPr>
          <w:rFonts w:ascii="Times New Roman" w:hAnsi="Times New Roman" w:cs="Times New Roman"/>
          <w:sz w:val="24"/>
          <w:szCs w:val="24"/>
          <w:lang w:val="en-GB"/>
        </w:rPr>
        <w:t>Compliance</w:t>
      </w:r>
      <w:r w:rsidRPr="00C540E2">
        <w:rPr>
          <w:rFonts w:ascii="Times New Roman" w:hAnsi="Times New Roman" w:cs="Times New Roman"/>
          <w:sz w:val="24"/>
          <w:szCs w:val="24"/>
          <w:lang w:val="en-GB"/>
        </w:rPr>
        <w:t xml:space="preserve"> Evaluation Methodology</w:t>
      </w:r>
      <w:r w:rsidR="00AA16EB" w:rsidRPr="00C540E2">
        <w:rPr>
          <w:rFonts w:ascii="Times New Roman" w:hAnsi="Times New Roman" w:cs="Times New Roman"/>
          <w:sz w:val="24"/>
          <w:szCs w:val="24"/>
          <w:lang w:val="en-GB"/>
        </w:rPr>
        <w:t xml:space="preserve"> (</w:t>
      </w:r>
      <w:r w:rsidRPr="00C540E2">
        <w:rPr>
          <w:rFonts w:ascii="Times New Roman" w:hAnsi="Times New Roman" w:cs="Times New Roman"/>
          <w:sz w:val="24"/>
          <w:szCs w:val="24"/>
          <w:lang w:val="en-GB"/>
        </w:rPr>
        <w:t>draft</w:t>
      </w:r>
      <w:r w:rsidR="00AA16EB" w:rsidRPr="00C540E2">
        <w:rPr>
          <w:rFonts w:ascii="Times New Roman" w:hAnsi="Times New Roman" w:cs="Times New Roman"/>
          <w:sz w:val="24"/>
          <w:szCs w:val="24"/>
          <w:lang w:val="en-GB"/>
        </w:rPr>
        <w:t>)</w:t>
      </w:r>
      <w:r w:rsidR="0059135A"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3</w:t>
      </w:r>
      <w:r w:rsidR="0059135A" w:rsidRPr="00C540E2">
        <w:rPr>
          <w:rFonts w:ascii="Times New Roman" w:hAnsi="Times New Roman" w:cs="Times New Roman"/>
          <w:sz w:val="24"/>
          <w:szCs w:val="24"/>
          <w:lang w:val="en-GB"/>
        </w:rPr>
        <w:t>;</w:t>
      </w:r>
    </w:p>
    <w:p w14:paraId="11CD2B4A" w14:textId="118511AE" w:rsidR="00B677A9" w:rsidRPr="00C540E2" w:rsidRDefault="00E06137"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 xml:space="preserve">Eligibility Evaluation </w:t>
      </w:r>
      <w:r w:rsidR="00634866" w:rsidRPr="00C540E2">
        <w:rPr>
          <w:rFonts w:ascii="Times New Roman" w:hAnsi="Times New Roman" w:cs="Times New Roman"/>
          <w:sz w:val="24"/>
          <w:szCs w:val="24"/>
          <w:lang w:val="en-GB"/>
        </w:rPr>
        <w:t>Methodology</w:t>
      </w:r>
      <w:r w:rsidR="0059135A"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4</w:t>
      </w:r>
      <w:r w:rsidR="0059135A" w:rsidRPr="00C540E2">
        <w:rPr>
          <w:rFonts w:ascii="Times New Roman" w:hAnsi="Times New Roman" w:cs="Times New Roman"/>
          <w:sz w:val="24"/>
          <w:szCs w:val="24"/>
          <w:lang w:val="en-GB"/>
        </w:rPr>
        <w:t>;</w:t>
      </w:r>
    </w:p>
    <w:p w14:paraId="49536F27" w14:textId="39040BBD" w:rsidR="00623799" w:rsidRPr="00C540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Benefit and Quality</w:t>
      </w:r>
      <w:r w:rsidR="00157D96" w:rsidRPr="00C540E2">
        <w:rPr>
          <w:rFonts w:ascii="Times New Roman" w:hAnsi="Times New Roman" w:cs="Times New Roman"/>
          <w:sz w:val="24"/>
          <w:szCs w:val="24"/>
          <w:lang w:val="en-GB"/>
        </w:rPr>
        <w:t xml:space="preserve"> Evaluation Methodology</w:t>
      </w:r>
      <w:r w:rsidR="0059135A"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5</w:t>
      </w:r>
      <w:r w:rsidR="00623799" w:rsidRPr="00C540E2">
        <w:rPr>
          <w:rFonts w:ascii="Times New Roman" w:hAnsi="Times New Roman" w:cs="Times New Roman"/>
          <w:sz w:val="24"/>
          <w:szCs w:val="24"/>
          <w:lang w:val="en-GB"/>
        </w:rPr>
        <w:t>;</w:t>
      </w:r>
    </w:p>
    <w:p w14:paraId="58E5CD0D" w14:textId="6B432F18" w:rsidR="00623799" w:rsidRPr="00C540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Methodology for Calculating Monitoring Indicators</w:t>
      </w:r>
      <w:r w:rsidR="009126E7"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6</w:t>
      </w:r>
      <w:r w:rsidR="00623799" w:rsidRPr="00C540E2">
        <w:rPr>
          <w:rFonts w:ascii="Times New Roman" w:hAnsi="Times New Roman" w:cs="Times New Roman"/>
          <w:sz w:val="24"/>
          <w:szCs w:val="24"/>
          <w:lang w:val="en-GB"/>
        </w:rPr>
        <w:t>;</w:t>
      </w:r>
    </w:p>
    <w:p w14:paraId="230A4C57" w14:textId="069573FD" w:rsidR="009126E7" w:rsidRPr="00C540E2" w:rsidRDefault="00C95D5D" w:rsidP="00C540E2">
      <w:pPr>
        <w:pStyle w:val="ListParagraph"/>
        <w:numPr>
          <w:ilvl w:val="1"/>
          <w:numId w:val="12"/>
        </w:numPr>
        <w:spacing w:after="120" w:line="240" w:lineRule="auto"/>
        <w:ind w:left="1134" w:hanging="850"/>
        <w:rPr>
          <w:rFonts w:ascii="Times New Roman" w:hAnsi="Times New Roman" w:cs="Times New Roman"/>
          <w:sz w:val="24"/>
          <w:szCs w:val="24"/>
          <w:lang w:val="en-GB"/>
        </w:rPr>
      </w:pPr>
      <w:r w:rsidRPr="00C540E2">
        <w:rPr>
          <w:rFonts w:ascii="Times New Roman" w:hAnsi="Times New Roman" w:cs="Times New Roman"/>
          <w:sz w:val="24"/>
          <w:szCs w:val="24"/>
          <w:lang w:val="en-GB"/>
        </w:rPr>
        <w:t>Draft Special Conditions of the Project contract, Annex 7;</w:t>
      </w:r>
    </w:p>
    <w:p w14:paraId="326CE854" w14:textId="22BF91AA" w:rsidR="00623799" w:rsidRPr="00C540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C540E2">
        <w:rPr>
          <w:rFonts w:ascii="Times New Roman" w:hAnsi="Times New Roman" w:cs="Times New Roman"/>
          <w:sz w:val="24"/>
          <w:szCs w:val="24"/>
          <w:lang w:val="en-GB"/>
        </w:rPr>
        <w:t>Recommended Market Research Summary Form and Explanations on its Completion</w:t>
      </w:r>
      <w:r w:rsidR="009126E7" w:rsidRPr="00C540E2">
        <w:rPr>
          <w:rFonts w:ascii="Times New Roman" w:hAnsi="Times New Roman" w:cs="Times New Roman"/>
          <w:sz w:val="24"/>
          <w:szCs w:val="24"/>
          <w:lang w:val="en-GB"/>
        </w:rPr>
        <w:t xml:space="preserve">, Annex </w:t>
      </w:r>
      <w:r w:rsidR="00C95D5D" w:rsidRPr="00C540E2">
        <w:rPr>
          <w:rFonts w:ascii="Times New Roman" w:hAnsi="Times New Roman" w:cs="Times New Roman"/>
          <w:sz w:val="24"/>
          <w:szCs w:val="24"/>
          <w:lang w:val="en-GB"/>
        </w:rPr>
        <w:t>8.</w:t>
      </w:r>
    </w:p>
    <w:p w14:paraId="1AD381C2" w14:textId="77777777" w:rsidR="00623799" w:rsidRPr="00C540E2" w:rsidRDefault="00623799" w:rsidP="00C540E2">
      <w:pPr>
        <w:spacing w:after="120" w:line="240" w:lineRule="auto"/>
        <w:jc w:val="both"/>
        <w:rPr>
          <w:rFonts w:ascii="Times New Roman" w:hAnsi="Times New Roman" w:cs="Times New Roman"/>
          <w:sz w:val="24"/>
          <w:szCs w:val="24"/>
          <w:lang w:val="en-GB"/>
        </w:rPr>
      </w:pPr>
    </w:p>
    <w:p w14:paraId="731B7C80" w14:textId="77777777" w:rsidR="00B677A9" w:rsidRPr="00C540E2" w:rsidRDefault="00B677A9" w:rsidP="00C540E2">
      <w:pPr>
        <w:spacing w:after="120" w:line="240" w:lineRule="auto"/>
        <w:jc w:val="both"/>
        <w:rPr>
          <w:rFonts w:ascii="Times New Roman" w:hAnsi="Times New Roman" w:cs="Times New Roman"/>
          <w:b/>
          <w:bCs/>
          <w:sz w:val="24"/>
          <w:szCs w:val="24"/>
          <w:lang w:val="en-GB"/>
        </w:rPr>
      </w:pPr>
    </w:p>
    <w:sectPr w:rsidR="00B677A9" w:rsidRPr="00C540E2" w:rsidSect="00B77D1B">
      <w:headerReference w:type="default" r:id="rId21"/>
      <w:footerReference w:type="default" r:id="rId22"/>
      <w:pgSz w:w="12240" w:h="15840"/>
      <w:pgMar w:top="1134" w:right="567" w:bottom="851" w:left="1701" w:header="720" w:footer="41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A3F04" w16cid:durableId="22976400"/>
  <w16cid:commentId w16cid:paraId="30124D03" w16cid:durableId="22ACFA83"/>
  <w16cid:commentId w16cid:paraId="2ABC119E" w16cid:durableId="22933BB0"/>
  <w16cid:commentId w16cid:paraId="6FA29F6E" w16cid:durableId="22ACFA87"/>
  <w16cid:commentId w16cid:paraId="51B02370" w16cid:durableId="22976543"/>
  <w16cid:commentId w16cid:paraId="0B938944" w16cid:durableId="22ACFA89"/>
  <w16cid:commentId w16cid:paraId="538C26C1" w16cid:durableId="22ACFA8A"/>
  <w16cid:commentId w16cid:paraId="07E60F68" w16cid:durableId="22ACFA8B"/>
  <w16cid:commentId w16cid:paraId="1B1B0AB5" w16cid:durableId="22ACFA8C"/>
  <w16cid:commentId w16cid:paraId="6DEAA308" w16cid:durableId="22976C22"/>
  <w16cid:commentId w16cid:paraId="646E015C" w16cid:durableId="22ACFA8E"/>
  <w16cid:commentId w16cid:paraId="39C31517" w16cid:durableId="22AF50F9"/>
  <w16cid:commentId w16cid:paraId="1D70C20B" w16cid:durableId="229370A0"/>
  <w16cid:commentId w16cid:paraId="3498589F" w16cid:durableId="22ACFA90"/>
  <w16cid:commentId w16cid:paraId="1A368D29" w16cid:durableId="22B6D98E"/>
  <w16cid:commentId w16cid:paraId="5395A312" w16cid:durableId="229EE71F"/>
  <w16cid:commentId w16cid:paraId="4CAD9600" w16cid:durableId="22ACFA92"/>
  <w16cid:commentId w16cid:paraId="7161BA88" w16cid:durableId="22AD60EF"/>
  <w16cid:commentId w16cid:paraId="7BAF8EA5" w16cid:durableId="229E06AB"/>
  <w16cid:commentId w16cid:paraId="3480F4D4" w16cid:durableId="22ACFA94"/>
  <w16cid:commentId w16cid:paraId="7A966C05" w16cid:durableId="22AD60F0"/>
  <w16cid:commentId w16cid:paraId="794FEE2B" w16cid:durableId="229E06AE"/>
  <w16cid:commentId w16cid:paraId="762D0F09" w16cid:durableId="22ACFA96"/>
  <w16cid:commentId w16cid:paraId="06A82927" w16cid:durableId="22AD60FA"/>
  <w16cid:commentId w16cid:paraId="37178A9C" w16cid:durableId="22ACFA97"/>
  <w16cid:commentId w16cid:paraId="63227982" w16cid:durableId="22ACFA98"/>
  <w16cid:commentId w16cid:paraId="65AAFB3F" w16cid:durableId="22ACFA99"/>
  <w16cid:commentId w16cid:paraId="5A4E2D07" w16cid:durableId="22ACFA9A"/>
  <w16cid:commentId w16cid:paraId="29CCFE30" w16cid:durableId="22ACFA9B"/>
  <w16cid:commentId w16cid:paraId="22FE4B85" w16cid:durableId="22ACFA9C"/>
  <w16cid:commentId w16cid:paraId="06EC4EFD" w16cid:durableId="22ACFA9D"/>
  <w16cid:commentId w16cid:paraId="783826BD" w16cid:durableId="22ACFA9E"/>
  <w16cid:commentId w16cid:paraId="2BFAE1C9" w16cid:durableId="22B6E6A2"/>
  <w16cid:commentId w16cid:paraId="0BCE2366" w16cid:durableId="22ACFA9F"/>
  <w16cid:commentId w16cid:paraId="240E9861" w16cid:durableId="22ACFAA0"/>
  <w16cid:commentId w16cid:paraId="0E935B5E" w16cid:durableId="229E0905"/>
  <w16cid:commentId w16cid:paraId="29351C8E" w16cid:durableId="22ACFAA2"/>
  <w16cid:commentId w16cid:paraId="50CCDEC4" w16cid:durableId="22937759"/>
  <w16cid:commentId w16cid:paraId="0C045AD3" w16cid:durableId="22ACFAA4"/>
  <w16cid:commentId w16cid:paraId="274037C9" w16cid:durableId="22ACFAA5"/>
  <w16cid:commentId w16cid:paraId="6EADB65E" w16cid:durableId="22ACFAA6"/>
  <w16cid:commentId w16cid:paraId="45A56C7F" w16cid:durableId="22B6DA80"/>
  <w16cid:commentId w16cid:paraId="3C22A035" w16cid:durableId="22ACFAA7"/>
  <w16cid:commentId w16cid:paraId="26066025" w16cid:durableId="22ACFAA8"/>
  <w16cid:commentId w16cid:paraId="17FA5207" w16cid:durableId="22B6DAA3"/>
  <w16cid:commentId w16cid:paraId="47FA023C" w16cid:durableId="22ACFAA9"/>
  <w16cid:commentId w16cid:paraId="1B729263" w16cid:durableId="22ACFAAA"/>
  <w16cid:commentId w16cid:paraId="55C83B5D" w16cid:durableId="22ACFAAB"/>
  <w16cid:commentId w16cid:paraId="7C12DC82" w16cid:durableId="22ACFAAC"/>
  <w16cid:commentId w16cid:paraId="507B9AFD" w16cid:durableId="229E06BD"/>
  <w16cid:commentId w16cid:paraId="57884C4F" w16cid:durableId="22ACFAAE"/>
  <w16cid:commentId w16cid:paraId="3A2B7E58" w16cid:durableId="22AD61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AE2A" w14:textId="77777777" w:rsidR="001E189F" w:rsidRDefault="001E189F" w:rsidP="00FB452A">
      <w:pPr>
        <w:spacing w:after="0" w:line="240" w:lineRule="auto"/>
      </w:pPr>
      <w:r>
        <w:separator/>
      </w:r>
    </w:p>
  </w:endnote>
  <w:endnote w:type="continuationSeparator" w:id="0">
    <w:p w14:paraId="18B87768" w14:textId="77777777" w:rsidR="001E189F" w:rsidRDefault="001E189F" w:rsidP="00FB452A">
      <w:pPr>
        <w:spacing w:after="0" w:line="240" w:lineRule="auto"/>
      </w:pPr>
      <w:r>
        <w:continuationSeparator/>
      </w:r>
    </w:p>
  </w:endnote>
  <w:endnote w:type="continuationNotice" w:id="1">
    <w:p w14:paraId="0B9B4A5B" w14:textId="77777777" w:rsidR="001E189F" w:rsidRDefault="001E1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rinda">
    <w:altName w:val="Courier New"/>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53EE6D94" w14:textId="2ED97D10" w:rsidR="00C422E5" w:rsidRDefault="00C422E5">
        <w:pPr>
          <w:pStyle w:val="Footer"/>
          <w:jc w:val="right"/>
        </w:pPr>
        <w:r>
          <w:fldChar w:fldCharType="begin"/>
        </w:r>
        <w:r>
          <w:instrText xml:space="preserve"> PAGE   \* MERGEFORMAT </w:instrText>
        </w:r>
        <w:r>
          <w:fldChar w:fldCharType="separate"/>
        </w:r>
        <w:r w:rsidR="0024718D">
          <w:rPr>
            <w:noProof/>
          </w:rPr>
          <w:t>14</w:t>
        </w:r>
        <w:r>
          <w:rPr>
            <w:noProof/>
          </w:rPr>
          <w:fldChar w:fldCharType="end"/>
        </w:r>
      </w:p>
    </w:sdtContent>
  </w:sdt>
  <w:p w14:paraId="37B5BF8F" w14:textId="77777777" w:rsidR="00C422E5" w:rsidRDefault="00C4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CD7C" w14:textId="77777777" w:rsidR="001E189F" w:rsidRDefault="001E189F" w:rsidP="00FB452A">
      <w:pPr>
        <w:spacing w:after="0" w:line="240" w:lineRule="auto"/>
      </w:pPr>
      <w:r>
        <w:separator/>
      </w:r>
    </w:p>
  </w:footnote>
  <w:footnote w:type="continuationSeparator" w:id="0">
    <w:p w14:paraId="1B39A518" w14:textId="77777777" w:rsidR="001E189F" w:rsidRDefault="001E189F" w:rsidP="00FB452A">
      <w:pPr>
        <w:spacing w:after="0" w:line="240" w:lineRule="auto"/>
      </w:pPr>
      <w:r>
        <w:continuationSeparator/>
      </w:r>
    </w:p>
  </w:footnote>
  <w:footnote w:type="continuationNotice" w:id="1">
    <w:p w14:paraId="648102AA" w14:textId="77777777" w:rsidR="001E189F" w:rsidRDefault="001E189F">
      <w:pPr>
        <w:spacing w:after="0" w:line="240" w:lineRule="auto"/>
      </w:pPr>
    </w:p>
  </w:footnote>
  <w:footnote w:id="2">
    <w:p w14:paraId="14E2FB8A" w14:textId="0ED8B91A" w:rsidR="00445430" w:rsidRPr="00AB5B2B" w:rsidRDefault="00445430">
      <w:pPr>
        <w:pStyle w:val="FootnoteText"/>
        <w:rPr>
          <w:rFonts w:ascii="Times New Roman" w:hAnsi="Times New Roman" w:cs="Times New Roman"/>
          <w:lang w:val="en-GB"/>
        </w:rPr>
      </w:pPr>
      <w:r w:rsidRPr="00AB5B2B">
        <w:rPr>
          <w:rStyle w:val="FootnoteReference"/>
          <w:rFonts w:ascii="Times New Roman" w:hAnsi="Times New Roman" w:cs="Times New Roman"/>
        </w:rPr>
        <w:footnoteRef/>
      </w:r>
      <w:r w:rsidRPr="00AB5B2B">
        <w:rPr>
          <w:rFonts w:ascii="Times New Roman" w:hAnsi="Times New Roman" w:cs="Times New Roman"/>
        </w:rPr>
        <w:t xml:space="preserve"> </w:t>
      </w:r>
      <w:bookmarkStart w:id="11" w:name="_Hlk43476984"/>
      <w:r w:rsidRPr="00AB5B2B">
        <w:rPr>
          <w:rFonts w:ascii="Times New Roman" w:hAnsi="Times New Roman" w:cs="Times New Roman"/>
          <w:lang w:val="en-GB"/>
        </w:rPr>
        <w:t xml:space="preserve">Meeting the target levels for these outcome indicators will be assessed by means of a survey administered by the FMO to the successful projects. </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93C3" w14:textId="77777777" w:rsidR="00693242" w:rsidRDefault="0069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A0C"/>
    <w:multiLevelType w:val="hybridMultilevel"/>
    <w:tmpl w:val="6FCEC122"/>
    <w:lvl w:ilvl="0" w:tplc="FCCE0232">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071438B2"/>
    <w:multiLevelType w:val="hybridMultilevel"/>
    <w:tmpl w:val="7262AA22"/>
    <w:lvl w:ilvl="0" w:tplc="0427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0303E9F"/>
    <w:multiLevelType w:val="multilevel"/>
    <w:tmpl w:val="904E66FE"/>
    <w:lvl w:ilvl="0">
      <w:start w:val="3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E3014"/>
    <w:multiLevelType w:val="multilevel"/>
    <w:tmpl w:val="11066916"/>
    <w:lvl w:ilvl="0">
      <w:start w:val="10"/>
      <w:numFmt w:val="decimal"/>
      <w:lvlText w:val="%1."/>
      <w:lvlJc w:val="left"/>
      <w:pPr>
        <w:ind w:left="360" w:hanging="360"/>
      </w:pPr>
      <w:rPr>
        <w:rFonts w:ascii="Times" w:hAnsi="Time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7F7F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AB3B09"/>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A0F47"/>
    <w:multiLevelType w:val="hybridMultilevel"/>
    <w:tmpl w:val="A732C702"/>
    <w:lvl w:ilvl="0" w:tplc="9AECF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4"/>
  </w:num>
  <w:num w:numId="5">
    <w:abstractNumId w:val="4"/>
  </w:num>
  <w:num w:numId="6">
    <w:abstractNumId w:val="9"/>
  </w:num>
  <w:num w:numId="7">
    <w:abstractNumId w:val="1"/>
  </w:num>
  <w:num w:numId="8">
    <w:abstractNumId w:val="15"/>
  </w:num>
  <w:num w:numId="9">
    <w:abstractNumId w:val="11"/>
  </w:num>
  <w:num w:numId="10">
    <w:abstractNumId w:val="12"/>
  </w:num>
  <w:num w:numId="11">
    <w:abstractNumId w:val="5"/>
  </w:num>
  <w:num w:numId="12">
    <w:abstractNumId w:val="2"/>
  </w:num>
  <w:num w:numId="13">
    <w:abstractNumId w:val="13"/>
  </w:num>
  <w:num w:numId="14">
    <w:abstractNumId w:val="0"/>
  </w:num>
  <w:num w:numId="15">
    <w:abstractNumId w:val="10"/>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2B9F"/>
    <w:rsid w:val="00006253"/>
    <w:rsid w:val="000159B8"/>
    <w:rsid w:val="0002013F"/>
    <w:rsid w:val="00020677"/>
    <w:rsid w:val="00023C88"/>
    <w:rsid w:val="00025083"/>
    <w:rsid w:val="000250F7"/>
    <w:rsid w:val="0002688B"/>
    <w:rsid w:val="0002732F"/>
    <w:rsid w:val="0003089B"/>
    <w:rsid w:val="00036725"/>
    <w:rsid w:val="000400E1"/>
    <w:rsid w:val="00043FBE"/>
    <w:rsid w:val="00045A83"/>
    <w:rsid w:val="00045F33"/>
    <w:rsid w:val="00047308"/>
    <w:rsid w:val="00051241"/>
    <w:rsid w:val="00051881"/>
    <w:rsid w:val="00053B4F"/>
    <w:rsid w:val="00055810"/>
    <w:rsid w:val="000558A3"/>
    <w:rsid w:val="00056A2C"/>
    <w:rsid w:val="00056B2E"/>
    <w:rsid w:val="00061C59"/>
    <w:rsid w:val="00063A27"/>
    <w:rsid w:val="000647ED"/>
    <w:rsid w:val="00071089"/>
    <w:rsid w:val="00072A3C"/>
    <w:rsid w:val="00073FA7"/>
    <w:rsid w:val="00081450"/>
    <w:rsid w:val="00082397"/>
    <w:rsid w:val="00083A18"/>
    <w:rsid w:val="00090184"/>
    <w:rsid w:val="00091458"/>
    <w:rsid w:val="00091908"/>
    <w:rsid w:val="00092105"/>
    <w:rsid w:val="00093F16"/>
    <w:rsid w:val="0009436A"/>
    <w:rsid w:val="00094C89"/>
    <w:rsid w:val="00094DFA"/>
    <w:rsid w:val="00095024"/>
    <w:rsid w:val="00097A0D"/>
    <w:rsid w:val="000A2964"/>
    <w:rsid w:val="000A5EBB"/>
    <w:rsid w:val="000A6D83"/>
    <w:rsid w:val="000A7877"/>
    <w:rsid w:val="000B5C4E"/>
    <w:rsid w:val="000B711F"/>
    <w:rsid w:val="000B7B8F"/>
    <w:rsid w:val="000B7D8A"/>
    <w:rsid w:val="000C0344"/>
    <w:rsid w:val="000C1E1C"/>
    <w:rsid w:val="000C2255"/>
    <w:rsid w:val="000C37DD"/>
    <w:rsid w:val="000D13EB"/>
    <w:rsid w:val="000D3012"/>
    <w:rsid w:val="000D3CEE"/>
    <w:rsid w:val="000D3F65"/>
    <w:rsid w:val="000D75F9"/>
    <w:rsid w:val="000D7856"/>
    <w:rsid w:val="000E10DE"/>
    <w:rsid w:val="000E172A"/>
    <w:rsid w:val="000E177A"/>
    <w:rsid w:val="000E1CF3"/>
    <w:rsid w:val="000E706C"/>
    <w:rsid w:val="000F081F"/>
    <w:rsid w:val="000F28A1"/>
    <w:rsid w:val="000F3E30"/>
    <w:rsid w:val="000F3FF1"/>
    <w:rsid w:val="000F5AB2"/>
    <w:rsid w:val="0010000D"/>
    <w:rsid w:val="00101A72"/>
    <w:rsid w:val="00106AC2"/>
    <w:rsid w:val="00112622"/>
    <w:rsid w:val="00114FF4"/>
    <w:rsid w:val="00123508"/>
    <w:rsid w:val="00123671"/>
    <w:rsid w:val="0012370B"/>
    <w:rsid w:val="0012512E"/>
    <w:rsid w:val="00125BC6"/>
    <w:rsid w:val="00127934"/>
    <w:rsid w:val="00130AE4"/>
    <w:rsid w:val="00132151"/>
    <w:rsid w:val="0013251E"/>
    <w:rsid w:val="00132BD3"/>
    <w:rsid w:val="00132E7A"/>
    <w:rsid w:val="001332C5"/>
    <w:rsid w:val="00142DB5"/>
    <w:rsid w:val="00143627"/>
    <w:rsid w:val="001438E5"/>
    <w:rsid w:val="001448BE"/>
    <w:rsid w:val="00147312"/>
    <w:rsid w:val="001477B7"/>
    <w:rsid w:val="00151123"/>
    <w:rsid w:val="00153C79"/>
    <w:rsid w:val="00156EF9"/>
    <w:rsid w:val="00157D96"/>
    <w:rsid w:val="00163A3E"/>
    <w:rsid w:val="001647C9"/>
    <w:rsid w:val="001655E8"/>
    <w:rsid w:val="0016628A"/>
    <w:rsid w:val="00171573"/>
    <w:rsid w:val="001718ED"/>
    <w:rsid w:val="00171B84"/>
    <w:rsid w:val="0017312C"/>
    <w:rsid w:val="00174AE9"/>
    <w:rsid w:val="0017538A"/>
    <w:rsid w:val="00177A5E"/>
    <w:rsid w:val="00183DA1"/>
    <w:rsid w:val="001A0263"/>
    <w:rsid w:val="001A08BD"/>
    <w:rsid w:val="001A1948"/>
    <w:rsid w:val="001A272D"/>
    <w:rsid w:val="001A50D8"/>
    <w:rsid w:val="001A7CE0"/>
    <w:rsid w:val="001B016A"/>
    <w:rsid w:val="001B2B16"/>
    <w:rsid w:val="001B4A60"/>
    <w:rsid w:val="001B57B5"/>
    <w:rsid w:val="001C18FD"/>
    <w:rsid w:val="001C4BA6"/>
    <w:rsid w:val="001C73FF"/>
    <w:rsid w:val="001D4876"/>
    <w:rsid w:val="001E17EA"/>
    <w:rsid w:val="001E189F"/>
    <w:rsid w:val="001E243D"/>
    <w:rsid w:val="001E353D"/>
    <w:rsid w:val="001E59D8"/>
    <w:rsid w:val="001E60B8"/>
    <w:rsid w:val="001E77E2"/>
    <w:rsid w:val="001F35A2"/>
    <w:rsid w:val="001F399C"/>
    <w:rsid w:val="001F401E"/>
    <w:rsid w:val="001F723C"/>
    <w:rsid w:val="00200814"/>
    <w:rsid w:val="002016D2"/>
    <w:rsid w:val="0020281F"/>
    <w:rsid w:val="0020623E"/>
    <w:rsid w:val="00210AC5"/>
    <w:rsid w:val="00215D32"/>
    <w:rsid w:val="00222EC2"/>
    <w:rsid w:val="00223331"/>
    <w:rsid w:val="00224E4B"/>
    <w:rsid w:val="002255CC"/>
    <w:rsid w:val="002260C7"/>
    <w:rsid w:val="002275BC"/>
    <w:rsid w:val="0023042B"/>
    <w:rsid w:val="002336C5"/>
    <w:rsid w:val="002363C5"/>
    <w:rsid w:val="00242A43"/>
    <w:rsid w:val="00243717"/>
    <w:rsid w:val="00246544"/>
    <w:rsid w:val="00246F24"/>
    <w:rsid w:val="0024718D"/>
    <w:rsid w:val="00247752"/>
    <w:rsid w:val="00251A96"/>
    <w:rsid w:val="00253415"/>
    <w:rsid w:val="002541E9"/>
    <w:rsid w:val="00264ADF"/>
    <w:rsid w:val="00265A96"/>
    <w:rsid w:val="0027058E"/>
    <w:rsid w:val="00273FB4"/>
    <w:rsid w:val="00277974"/>
    <w:rsid w:val="00277B5E"/>
    <w:rsid w:val="00277B9C"/>
    <w:rsid w:val="00277F59"/>
    <w:rsid w:val="0028137B"/>
    <w:rsid w:val="002824FE"/>
    <w:rsid w:val="00283189"/>
    <w:rsid w:val="00283761"/>
    <w:rsid w:val="002873F9"/>
    <w:rsid w:val="00287740"/>
    <w:rsid w:val="00290A60"/>
    <w:rsid w:val="0029113F"/>
    <w:rsid w:val="002957C6"/>
    <w:rsid w:val="0029784F"/>
    <w:rsid w:val="00297B15"/>
    <w:rsid w:val="002A2E50"/>
    <w:rsid w:val="002A3FDB"/>
    <w:rsid w:val="002A4993"/>
    <w:rsid w:val="002B0058"/>
    <w:rsid w:val="002B245F"/>
    <w:rsid w:val="002B3D48"/>
    <w:rsid w:val="002B4ADD"/>
    <w:rsid w:val="002B7A6F"/>
    <w:rsid w:val="002B7F47"/>
    <w:rsid w:val="002C0DAE"/>
    <w:rsid w:val="002C13C6"/>
    <w:rsid w:val="002C2525"/>
    <w:rsid w:val="002C35AD"/>
    <w:rsid w:val="002C5544"/>
    <w:rsid w:val="002C66EE"/>
    <w:rsid w:val="002C7098"/>
    <w:rsid w:val="002C7E75"/>
    <w:rsid w:val="002D260B"/>
    <w:rsid w:val="002D5347"/>
    <w:rsid w:val="002D59A4"/>
    <w:rsid w:val="002D64FD"/>
    <w:rsid w:val="002E04F2"/>
    <w:rsid w:val="002E0FBC"/>
    <w:rsid w:val="002E4480"/>
    <w:rsid w:val="002F12F9"/>
    <w:rsid w:val="002F136E"/>
    <w:rsid w:val="002F13BC"/>
    <w:rsid w:val="00301A50"/>
    <w:rsid w:val="00304668"/>
    <w:rsid w:val="0030740F"/>
    <w:rsid w:val="00310892"/>
    <w:rsid w:val="0031747C"/>
    <w:rsid w:val="00320A5E"/>
    <w:rsid w:val="00323C5B"/>
    <w:rsid w:val="00324501"/>
    <w:rsid w:val="00326A6F"/>
    <w:rsid w:val="003314E7"/>
    <w:rsid w:val="00332533"/>
    <w:rsid w:val="00334606"/>
    <w:rsid w:val="00335D6D"/>
    <w:rsid w:val="00351848"/>
    <w:rsid w:val="00353B72"/>
    <w:rsid w:val="003569DE"/>
    <w:rsid w:val="00357F9B"/>
    <w:rsid w:val="00367A27"/>
    <w:rsid w:val="00370DC1"/>
    <w:rsid w:val="00371FBE"/>
    <w:rsid w:val="00373407"/>
    <w:rsid w:val="0037473A"/>
    <w:rsid w:val="00381353"/>
    <w:rsid w:val="003813AD"/>
    <w:rsid w:val="003843FA"/>
    <w:rsid w:val="00387CBB"/>
    <w:rsid w:val="00390AE8"/>
    <w:rsid w:val="0039128B"/>
    <w:rsid w:val="00391D41"/>
    <w:rsid w:val="003A510B"/>
    <w:rsid w:val="003B284A"/>
    <w:rsid w:val="003B2CB4"/>
    <w:rsid w:val="003B3ADE"/>
    <w:rsid w:val="003B3BB3"/>
    <w:rsid w:val="003B3C5C"/>
    <w:rsid w:val="003B57BA"/>
    <w:rsid w:val="003B5CE1"/>
    <w:rsid w:val="003B761E"/>
    <w:rsid w:val="003C1D87"/>
    <w:rsid w:val="003C47D9"/>
    <w:rsid w:val="003C54EB"/>
    <w:rsid w:val="003C68C0"/>
    <w:rsid w:val="003D6668"/>
    <w:rsid w:val="003E1E22"/>
    <w:rsid w:val="003E49B8"/>
    <w:rsid w:val="003F01D3"/>
    <w:rsid w:val="003F2C1F"/>
    <w:rsid w:val="003F38DD"/>
    <w:rsid w:val="003F5ACC"/>
    <w:rsid w:val="003F61EA"/>
    <w:rsid w:val="003F6587"/>
    <w:rsid w:val="003F72D4"/>
    <w:rsid w:val="00401080"/>
    <w:rsid w:val="004010C9"/>
    <w:rsid w:val="004018D3"/>
    <w:rsid w:val="00404D20"/>
    <w:rsid w:val="0040653B"/>
    <w:rsid w:val="00410450"/>
    <w:rsid w:val="004127E9"/>
    <w:rsid w:val="00412C2F"/>
    <w:rsid w:val="004131B1"/>
    <w:rsid w:val="00413A1F"/>
    <w:rsid w:val="004171F5"/>
    <w:rsid w:val="00417A29"/>
    <w:rsid w:val="00417DB9"/>
    <w:rsid w:val="0042195D"/>
    <w:rsid w:val="0042470B"/>
    <w:rsid w:val="00425296"/>
    <w:rsid w:val="00431370"/>
    <w:rsid w:val="00431D7B"/>
    <w:rsid w:val="004353E6"/>
    <w:rsid w:val="00440F13"/>
    <w:rsid w:val="00445430"/>
    <w:rsid w:val="00452D1A"/>
    <w:rsid w:val="00455624"/>
    <w:rsid w:val="00461BDF"/>
    <w:rsid w:val="004633B4"/>
    <w:rsid w:val="00465308"/>
    <w:rsid w:val="00466FEA"/>
    <w:rsid w:val="004724EE"/>
    <w:rsid w:val="00475BA6"/>
    <w:rsid w:val="00475CCB"/>
    <w:rsid w:val="004857EE"/>
    <w:rsid w:val="00485CCC"/>
    <w:rsid w:val="004934B8"/>
    <w:rsid w:val="00494EE8"/>
    <w:rsid w:val="00497AC5"/>
    <w:rsid w:val="004A3856"/>
    <w:rsid w:val="004A3F44"/>
    <w:rsid w:val="004A4618"/>
    <w:rsid w:val="004A4BAD"/>
    <w:rsid w:val="004B2DB9"/>
    <w:rsid w:val="004B380B"/>
    <w:rsid w:val="004B6778"/>
    <w:rsid w:val="004C0FB2"/>
    <w:rsid w:val="004C608B"/>
    <w:rsid w:val="004C7CA7"/>
    <w:rsid w:val="004C7CA8"/>
    <w:rsid w:val="004D05A3"/>
    <w:rsid w:val="004D13BA"/>
    <w:rsid w:val="004D164D"/>
    <w:rsid w:val="004D1EB2"/>
    <w:rsid w:val="004D31D3"/>
    <w:rsid w:val="004D5A3A"/>
    <w:rsid w:val="004D749E"/>
    <w:rsid w:val="004E0C05"/>
    <w:rsid w:val="004E2A65"/>
    <w:rsid w:val="004E2F58"/>
    <w:rsid w:val="004E44BB"/>
    <w:rsid w:val="004E6CBC"/>
    <w:rsid w:val="004F334A"/>
    <w:rsid w:val="004F38C6"/>
    <w:rsid w:val="004F4A8D"/>
    <w:rsid w:val="005008AA"/>
    <w:rsid w:val="005029A1"/>
    <w:rsid w:val="00505B4D"/>
    <w:rsid w:val="005111D6"/>
    <w:rsid w:val="0051283B"/>
    <w:rsid w:val="00515609"/>
    <w:rsid w:val="005164C2"/>
    <w:rsid w:val="00534309"/>
    <w:rsid w:val="005421F8"/>
    <w:rsid w:val="00545392"/>
    <w:rsid w:val="00554286"/>
    <w:rsid w:val="00554AAC"/>
    <w:rsid w:val="005562D1"/>
    <w:rsid w:val="00560393"/>
    <w:rsid w:val="0056165B"/>
    <w:rsid w:val="0056582C"/>
    <w:rsid w:val="00565B80"/>
    <w:rsid w:val="005674A8"/>
    <w:rsid w:val="005757D4"/>
    <w:rsid w:val="00580ADD"/>
    <w:rsid w:val="0058193A"/>
    <w:rsid w:val="005839B5"/>
    <w:rsid w:val="005871A4"/>
    <w:rsid w:val="00590EC2"/>
    <w:rsid w:val="0059135A"/>
    <w:rsid w:val="005921DA"/>
    <w:rsid w:val="00596BED"/>
    <w:rsid w:val="005A2915"/>
    <w:rsid w:val="005B7022"/>
    <w:rsid w:val="005C149E"/>
    <w:rsid w:val="005C261D"/>
    <w:rsid w:val="005C66EC"/>
    <w:rsid w:val="005D0B4B"/>
    <w:rsid w:val="005D0D66"/>
    <w:rsid w:val="005D177A"/>
    <w:rsid w:val="005D5A85"/>
    <w:rsid w:val="005D5DCF"/>
    <w:rsid w:val="005D63E0"/>
    <w:rsid w:val="005E4C57"/>
    <w:rsid w:val="005E5E21"/>
    <w:rsid w:val="005E6844"/>
    <w:rsid w:val="005F0A71"/>
    <w:rsid w:val="005F14EC"/>
    <w:rsid w:val="005F3565"/>
    <w:rsid w:val="005F6F40"/>
    <w:rsid w:val="0060487C"/>
    <w:rsid w:val="00604C0D"/>
    <w:rsid w:val="0060604E"/>
    <w:rsid w:val="00623799"/>
    <w:rsid w:val="00625229"/>
    <w:rsid w:val="00630D29"/>
    <w:rsid w:val="0063241C"/>
    <w:rsid w:val="00634866"/>
    <w:rsid w:val="00634B7B"/>
    <w:rsid w:val="006353FA"/>
    <w:rsid w:val="00642755"/>
    <w:rsid w:val="00647A04"/>
    <w:rsid w:val="006602F0"/>
    <w:rsid w:val="0066421B"/>
    <w:rsid w:val="00667E13"/>
    <w:rsid w:val="00667EF9"/>
    <w:rsid w:val="00673936"/>
    <w:rsid w:val="00673AB3"/>
    <w:rsid w:val="00674F17"/>
    <w:rsid w:val="006759DE"/>
    <w:rsid w:val="00676F88"/>
    <w:rsid w:val="006774F8"/>
    <w:rsid w:val="00683742"/>
    <w:rsid w:val="0068426B"/>
    <w:rsid w:val="006843B4"/>
    <w:rsid w:val="00687AC1"/>
    <w:rsid w:val="00687C9E"/>
    <w:rsid w:val="00687FA3"/>
    <w:rsid w:val="006925DF"/>
    <w:rsid w:val="00692E06"/>
    <w:rsid w:val="00692E7D"/>
    <w:rsid w:val="00693242"/>
    <w:rsid w:val="00694603"/>
    <w:rsid w:val="00697D15"/>
    <w:rsid w:val="006A074F"/>
    <w:rsid w:val="006A4DBC"/>
    <w:rsid w:val="006A67FB"/>
    <w:rsid w:val="006C0305"/>
    <w:rsid w:val="006C07EE"/>
    <w:rsid w:val="006C22D8"/>
    <w:rsid w:val="006C3BED"/>
    <w:rsid w:val="006C5B1F"/>
    <w:rsid w:val="006C5EFB"/>
    <w:rsid w:val="006C690C"/>
    <w:rsid w:val="006C6D84"/>
    <w:rsid w:val="006D2459"/>
    <w:rsid w:val="006D49D0"/>
    <w:rsid w:val="006D59CF"/>
    <w:rsid w:val="006D6F0C"/>
    <w:rsid w:val="006E168D"/>
    <w:rsid w:val="006E32B9"/>
    <w:rsid w:val="006E7D8A"/>
    <w:rsid w:val="006F0AD9"/>
    <w:rsid w:val="006F13C3"/>
    <w:rsid w:val="006F22A0"/>
    <w:rsid w:val="006F2C2A"/>
    <w:rsid w:val="006F2E03"/>
    <w:rsid w:val="006F36A6"/>
    <w:rsid w:val="006F3E0F"/>
    <w:rsid w:val="00701353"/>
    <w:rsid w:val="00705C90"/>
    <w:rsid w:val="00715FC5"/>
    <w:rsid w:val="007176DC"/>
    <w:rsid w:val="00717A18"/>
    <w:rsid w:val="00720F47"/>
    <w:rsid w:val="007216F5"/>
    <w:rsid w:val="007235D0"/>
    <w:rsid w:val="00723B7A"/>
    <w:rsid w:val="00724313"/>
    <w:rsid w:val="00726455"/>
    <w:rsid w:val="007315EC"/>
    <w:rsid w:val="0073172E"/>
    <w:rsid w:val="00731803"/>
    <w:rsid w:val="007320E5"/>
    <w:rsid w:val="00732E97"/>
    <w:rsid w:val="007334EA"/>
    <w:rsid w:val="007340ED"/>
    <w:rsid w:val="00735DF0"/>
    <w:rsid w:val="00736326"/>
    <w:rsid w:val="00746C2E"/>
    <w:rsid w:val="007525C1"/>
    <w:rsid w:val="007553F4"/>
    <w:rsid w:val="00757876"/>
    <w:rsid w:val="007627A9"/>
    <w:rsid w:val="0076491B"/>
    <w:rsid w:val="0076591F"/>
    <w:rsid w:val="007679FE"/>
    <w:rsid w:val="00772019"/>
    <w:rsid w:val="00775250"/>
    <w:rsid w:val="00781E55"/>
    <w:rsid w:val="00783426"/>
    <w:rsid w:val="00784027"/>
    <w:rsid w:val="007876D8"/>
    <w:rsid w:val="00790347"/>
    <w:rsid w:val="00791915"/>
    <w:rsid w:val="007934B2"/>
    <w:rsid w:val="0079471E"/>
    <w:rsid w:val="007947F2"/>
    <w:rsid w:val="00795519"/>
    <w:rsid w:val="007A12F5"/>
    <w:rsid w:val="007A220C"/>
    <w:rsid w:val="007A5B7E"/>
    <w:rsid w:val="007A5BB2"/>
    <w:rsid w:val="007B210D"/>
    <w:rsid w:val="007B3106"/>
    <w:rsid w:val="007B3410"/>
    <w:rsid w:val="007B6749"/>
    <w:rsid w:val="007C4D72"/>
    <w:rsid w:val="007C5C77"/>
    <w:rsid w:val="007E1BB8"/>
    <w:rsid w:val="007E745F"/>
    <w:rsid w:val="007F6614"/>
    <w:rsid w:val="007F66D8"/>
    <w:rsid w:val="007F6B1A"/>
    <w:rsid w:val="007F7F94"/>
    <w:rsid w:val="00802271"/>
    <w:rsid w:val="008030CA"/>
    <w:rsid w:val="0080399F"/>
    <w:rsid w:val="0080450D"/>
    <w:rsid w:val="00804798"/>
    <w:rsid w:val="00804AD4"/>
    <w:rsid w:val="00804DF1"/>
    <w:rsid w:val="00810C52"/>
    <w:rsid w:val="008139BE"/>
    <w:rsid w:val="008153F6"/>
    <w:rsid w:val="0081545D"/>
    <w:rsid w:val="00815AD9"/>
    <w:rsid w:val="00816CF8"/>
    <w:rsid w:val="00816F96"/>
    <w:rsid w:val="00821057"/>
    <w:rsid w:val="008212D0"/>
    <w:rsid w:val="00823BA0"/>
    <w:rsid w:val="00830716"/>
    <w:rsid w:val="00833B45"/>
    <w:rsid w:val="00842BB3"/>
    <w:rsid w:val="00846A3C"/>
    <w:rsid w:val="00851DE8"/>
    <w:rsid w:val="008523A7"/>
    <w:rsid w:val="0085447B"/>
    <w:rsid w:val="00861EC9"/>
    <w:rsid w:val="00864C04"/>
    <w:rsid w:val="0086559B"/>
    <w:rsid w:val="00872A58"/>
    <w:rsid w:val="0087500D"/>
    <w:rsid w:val="0087528A"/>
    <w:rsid w:val="008818B0"/>
    <w:rsid w:val="0089590D"/>
    <w:rsid w:val="00895E54"/>
    <w:rsid w:val="00897CF2"/>
    <w:rsid w:val="008A0977"/>
    <w:rsid w:val="008A0A91"/>
    <w:rsid w:val="008A29CF"/>
    <w:rsid w:val="008A52B9"/>
    <w:rsid w:val="008A62B8"/>
    <w:rsid w:val="008C05A4"/>
    <w:rsid w:val="008C2E0A"/>
    <w:rsid w:val="008C4098"/>
    <w:rsid w:val="008C7895"/>
    <w:rsid w:val="008D2A0E"/>
    <w:rsid w:val="008D2C56"/>
    <w:rsid w:val="008D2D91"/>
    <w:rsid w:val="008E04B0"/>
    <w:rsid w:val="008E3742"/>
    <w:rsid w:val="008E4389"/>
    <w:rsid w:val="008E6F80"/>
    <w:rsid w:val="008F1CBF"/>
    <w:rsid w:val="008F6928"/>
    <w:rsid w:val="00900B54"/>
    <w:rsid w:val="00901952"/>
    <w:rsid w:val="00901C69"/>
    <w:rsid w:val="009043CA"/>
    <w:rsid w:val="00905999"/>
    <w:rsid w:val="00906909"/>
    <w:rsid w:val="009126E7"/>
    <w:rsid w:val="00921790"/>
    <w:rsid w:val="00921D89"/>
    <w:rsid w:val="00924EF9"/>
    <w:rsid w:val="00926C83"/>
    <w:rsid w:val="00927398"/>
    <w:rsid w:val="00927FF0"/>
    <w:rsid w:val="00931EB8"/>
    <w:rsid w:val="00936041"/>
    <w:rsid w:val="00936ABD"/>
    <w:rsid w:val="00936E85"/>
    <w:rsid w:val="0093795D"/>
    <w:rsid w:val="009407B4"/>
    <w:rsid w:val="009425B3"/>
    <w:rsid w:val="00946A7D"/>
    <w:rsid w:val="009474CD"/>
    <w:rsid w:val="0095021D"/>
    <w:rsid w:val="009565A3"/>
    <w:rsid w:val="009614BB"/>
    <w:rsid w:val="00965CA4"/>
    <w:rsid w:val="00967887"/>
    <w:rsid w:val="009744CB"/>
    <w:rsid w:val="00976B29"/>
    <w:rsid w:val="00980CC5"/>
    <w:rsid w:val="0098287E"/>
    <w:rsid w:val="009869DB"/>
    <w:rsid w:val="00990799"/>
    <w:rsid w:val="00990D74"/>
    <w:rsid w:val="00992429"/>
    <w:rsid w:val="00995B7D"/>
    <w:rsid w:val="009A0266"/>
    <w:rsid w:val="009A53E7"/>
    <w:rsid w:val="009A5FF7"/>
    <w:rsid w:val="009A7C9D"/>
    <w:rsid w:val="009B0DA9"/>
    <w:rsid w:val="009C1592"/>
    <w:rsid w:val="009C21BE"/>
    <w:rsid w:val="009C6CBC"/>
    <w:rsid w:val="009C7736"/>
    <w:rsid w:val="009C7D98"/>
    <w:rsid w:val="009D2933"/>
    <w:rsid w:val="009D46B6"/>
    <w:rsid w:val="009E4C28"/>
    <w:rsid w:val="009E67C7"/>
    <w:rsid w:val="009F4026"/>
    <w:rsid w:val="009F4DF9"/>
    <w:rsid w:val="009F7C4A"/>
    <w:rsid w:val="00A01A8F"/>
    <w:rsid w:val="00A0319A"/>
    <w:rsid w:val="00A0709C"/>
    <w:rsid w:val="00A1114C"/>
    <w:rsid w:val="00A122E7"/>
    <w:rsid w:val="00A124AD"/>
    <w:rsid w:val="00A1799F"/>
    <w:rsid w:val="00A21E04"/>
    <w:rsid w:val="00A248E4"/>
    <w:rsid w:val="00A24A78"/>
    <w:rsid w:val="00A26834"/>
    <w:rsid w:val="00A27B30"/>
    <w:rsid w:val="00A313C9"/>
    <w:rsid w:val="00A31B09"/>
    <w:rsid w:val="00A3418F"/>
    <w:rsid w:val="00A37997"/>
    <w:rsid w:val="00A4005A"/>
    <w:rsid w:val="00A46041"/>
    <w:rsid w:val="00A46B06"/>
    <w:rsid w:val="00A52559"/>
    <w:rsid w:val="00A54DEB"/>
    <w:rsid w:val="00A5660A"/>
    <w:rsid w:val="00A56B4A"/>
    <w:rsid w:val="00A62CE5"/>
    <w:rsid w:val="00A62E24"/>
    <w:rsid w:val="00A65187"/>
    <w:rsid w:val="00A70F28"/>
    <w:rsid w:val="00A742D3"/>
    <w:rsid w:val="00A7522B"/>
    <w:rsid w:val="00A75CA3"/>
    <w:rsid w:val="00A75D7C"/>
    <w:rsid w:val="00A76225"/>
    <w:rsid w:val="00A82D12"/>
    <w:rsid w:val="00A8311B"/>
    <w:rsid w:val="00A87796"/>
    <w:rsid w:val="00A910AD"/>
    <w:rsid w:val="00A91F23"/>
    <w:rsid w:val="00A9531A"/>
    <w:rsid w:val="00A963E4"/>
    <w:rsid w:val="00A96674"/>
    <w:rsid w:val="00A97B66"/>
    <w:rsid w:val="00AA0856"/>
    <w:rsid w:val="00AA0DC3"/>
    <w:rsid w:val="00AA16EB"/>
    <w:rsid w:val="00AA193D"/>
    <w:rsid w:val="00AA62BE"/>
    <w:rsid w:val="00AA6422"/>
    <w:rsid w:val="00AB18F3"/>
    <w:rsid w:val="00AB5B2B"/>
    <w:rsid w:val="00AB709F"/>
    <w:rsid w:val="00AB78E5"/>
    <w:rsid w:val="00AC3F45"/>
    <w:rsid w:val="00AC46C0"/>
    <w:rsid w:val="00AE0B40"/>
    <w:rsid w:val="00AE2F61"/>
    <w:rsid w:val="00AE4BE0"/>
    <w:rsid w:val="00AF3098"/>
    <w:rsid w:val="00AF7AAF"/>
    <w:rsid w:val="00B010D7"/>
    <w:rsid w:val="00B02CA8"/>
    <w:rsid w:val="00B04DEC"/>
    <w:rsid w:val="00B05552"/>
    <w:rsid w:val="00B13F98"/>
    <w:rsid w:val="00B145DA"/>
    <w:rsid w:val="00B1490D"/>
    <w:rsid w:val="00B14ECF"/>
    <w:rsid w:val="00B212E6"/>
    <w:rsid w:val="00B316CF"/>
    <w:rsid w:val="00B402D8"/>
    <w:rsid w:val="00B5045A"/>
    <w:rsid w:val="00B50479"/>
    <w:rsid w:val="00B55687"/>
    <w:rsid w:val="00B578D9"/>
    <w:rsid w:val="00B60AC6"/>
    <w:rsid w:val="00B6310B"/>
    <w:rsid w:val="00B63D26"/>
    <w:rsid w:val="00B64E0A"/>
    <w:rsid w:val="00B677A9"/>
    <w:rsid w:val="00B73D90"/>
    <w:rsid w:val="00B762E7"/>
    <w:rsid w:val="00B77D1B"/>
    <w:rsid w:val="00B8256C"/>
    <w:rsid w:val="00B91A3D"/>
    <w:rsid w:val="00B92E89"/>
    <w:rsid w:val="00B932E0"/>
    <w:rsid w:val="00BA4C29"/>
    <w:rsid w:val="00BA559F"/>
    <w:rsid w:val="00BA7DC5"/>
    <w:rsid w:val="00BB163C"/>
    <w:rsid w:val="00BB7B80"/>
    <w:rsid w:val="00BC3AF0"/>
    <w:rsid w:val="00BC657A"/>
    <w:rsid w:val="00BC6BB7"/>
    <w:rsid w:val="00BD0800"/>
    <w:rsid w:val="00BD1A8E"/>
    <w:rsid w:val="00BD432F"/>
    <w:rsid w:val="00BD4DAD"/>
    <w:rsid w:val="00BD7EDD"/>
    <w:rsid w:val="00BE0417"/>
    <w:rsid w:val="00BE0DC2"/>
    <w:rsid w:val="00BE2281"/>
    <w:rsid w:val="00BE2D50"/>
    <w:rsid w:val="00BE5F24"/>
    <w:rsid w:val="00BE6160"/>
    <w:rsid w:val="00BF32C7"/>
    <w:rsid w:val="00BF5D75"/>
    <w:rsid w:val="00BF6174"/>
    <w:rsid w:val="00BF6577"/>
    <w:rsid w:val="00C04519"/>
    <w:rsid w:val="00C07B09"/>
    <w:rsid w:val="00C11281"/>
    <w:rsid w:val="00C112A3"/>
    <w:rsid w:val="00C12E9A"/>
    <w:rsid w:val="00C12EA0"/>
    <w:rsid w:val="00C176FE"/>
    <w:rsid w:val="00C17ABE"/>
    <w:rsid w:val="00C2069B"/>
    <w:rsid w:val="00C218AF"/>
    <w:rsid w:val="00C2302E"/>
    <w:rsid w:val="00C24779"/>
    <w:rsid w:val="00C25221"/>
    <w:rsid w:val="00C36917"/>
    <w:rsid w:val="00C40C8A"/>
    <w:rsid w:val="00C40DC8"/>
    <w:rsid w:val="00C42228"/>
    <w:rsid w:val="00C422E5"/>
    <w:rsid w:val="00C44A3D"/>
    <w:rsid w:val="00C457ED"/>
    <w:rsid w:val="00C46760"/>
    <w:rsid w:val="00C50BDF"/>
    <w:rsid w:val="00C51403"/>
    <w:rsid w:val="00C523B6"/>
    <w:rsid w:val="00C540E2"/>
    <w:rsid w:val="00C65803"/>
    <w:rsid w:val="00C71ADC"/>
    <w:rsid w:val="00C834B0"/>
    <w:rsid w:val="00C900F5"/>
    <w:rsid w:val="00C90EC6"/>
    <w:rsid w:val="00C92BF7"/>
    <w:rsid w:val="00C95D5D"/>
    <w:rsid w:val="00C97DD4"/>
    <w:rsid w:val="00CA352C"/>
    <w:rsid w:val="00CA6C2A"/>
    <w:rsid w:val="00CA6F9A"/>
    <w:rsid w:val="00CA7E04"/>
    <w:rsid w:val="00CB4745"/>
    <w:rsid w:val="00CC2F4D"/>
    <w:rsid w:val="00CC3C92"/>
    <w:rsid w:val="00CC424B"/>
    <w:rsid w:val="00CC6BA2"/>
    <w:rsid w:val="00CC7292"/>
    <w:rsid w:val="00CD220D"/>
    <w:rsid w:val="00CD36DC"/>
    <w:rsid w:val="00CE2897"/>
    <w:rsid w:val="00CE4396"/>
    <w:rsid w:val="00CE6294"/>
    <w:rsid w:val="00CF09AC"/>
    <w:rsid w:val="00CF3070"/>
    <w:rsid w:val="00CF315C"/>
    <w:rsid w:val="00CF4C78"/>
    <w:rsid w:val="00CF5321"/>
    <w:rsid w:val="00D036F3"/>
    <w:rsid w:val="00D04494"/>
    <w:rsid w:val="00D07FCF"/>
    <w:rsid w:val="00D10CAB"/>
    <w:rsid w:val="00D115A5"/>
    <w:rsid w:val="00D12B52"/>
    <w:rsid w:val="00D1414F"/>
    <w:rsid w:val="00D1537A"/>
    <w:rsid w:val="00D166DC"/>
    <w:rsid w:val="00D1795C"/>
    <w:rsid w:val="00D2562A"/>
    <w:rsid w:val="00D27798"/>
    <w:rsid w:val="00D30FB9"/>
    <w:rsid w:val="00D329BB"/>
    <w:rsid w:val="00D33B66"/>
    <w:rsid w:val="00D40791"/>
    <w:rsid w:val="00D42D2F"/>
    <w:rsid w:val="00D451E1"/>
    <w:rsid w:val="00D464FD"/>
    <w:rsid w:val="00D4721E"/>
    <w:rsid w:val="00D544DF"/>
    <w:rsid w:val="00D71697"/>
    <w:rsid w:val="00D737B5"/>
    <w:rsid w:val="00D75EDF"/>
    <w:rsid w:val="00D7600A"/>
    <w:rsid w:val="00D81595"/>
    <w:rsid w:val="00D8406C"/>
    <w:rsid w:val="00D92490"/>
    <w:rsid w:val="00D941C2"/>
    <w:rsid w:val="00D944FD"/>
    <w:rsid w:val="00D97015"/>
    <w:rsid w:val="00DA0F61"/>
    <w:rsid w:val="00DA181A"/>
    <w:rsid w:val="00DA3AF3"/>
    <w:rsid w:val="00DA6450"/>
    <w:rsid w:val="00DA75AF"/>
    <w:rsid w:val="00DB309D"/>
    <w:rsid w:val="00DB31B4"/>
    <w:rsid w:val="00DB4104"/>
    <w:rsid w:val="00DC0ED3"/>
    <w:rsid w:val="00DC23D1"/>
    <w:rsid w:val="00DC2D7F"/>
    <w:rsid w:val="00DC3107"/>
    <w:rsid w:val="00DC6CE2"/>
    <w:rsid w:val="00DC7128"/>
    <w:rsid w:val="00DD0590"/>
    <w:rsid w:val="00DD0F23"/>
    <w:rsid w:val="00DD0FAF"/>
    <w:rsid w:val="00DD4CE6"/>
    <w:rsid w:val="00DD650A"/>
    <w:rsid w:val="00DE2785"/>
    <w:rsid w:val="00DF0461"/>
    <w:rsid w:val="00DF179C"/>
    <w:rsid w:val="00DF48A5"/>
    <w:rsid w:val="00DF5B33"/>
    <w:rsid w:val="00E06137"/>
    <w:rsid w:val="00E06AFE"/>
    <w:rsid w:val="00E07610"/>
    <w:rsid w:val="00E07B9E"/>
    <w:rsid w:val="00E105C0"/>
    <w:rsid w:val="00E10649"/>
    <w:rsid w:val="00E1296A"/>
    <w:rsid w:val="00E238C1"/>
    <w:rsid w:val="00E241F5"/>
    <w:rsid w:val="00E25302"/>
    <w:rsid w:val="00E25FB6"/>
    <w:rsid w:val="00E326A8"/>
    <w:rsid w:val="00E328B0"/>
    <w:rsid w:val="00E36642"/>
    <w:rsid w:val="00E37687"/>
    <w:rsid w:val="00E419C0"/>
    <w:rsid w:val="00E456B4"/>
    <w:rsid w:val="00E6018A"/>
    <w:rsid w:val="00E63496"/>
    <w:rsid w:val="00E65570"/>
    <w:rsid w:val="00E66E2B"/>
    <w:rsid w:val="00E7348E"/>
    <w:rsid w:val="00E74AF9"/>
    <w:rsid w:val="00E755C8"/>
    <w:rsid w:val="00E84060"/>
    <w:rsid w:val="00E85623"/>
    <w:rsid w:val="00E871F1"/>
    <w:rsid w:val="00E9054A"/>
    <w:rsid w:val="00E908F0"/>
    <w:rsid w:val="00E929AB"/>
    <w:rsid w:val="00E93306"/>
    <w:rsid w:val="00E93A1B"/>
    <w:rsid w:val="00E95D83"/>
    <w:rsid w:val="00E96983"/>
    <w:rsid w:val="00E97D0B"/>
    <w:rsid w:val="00EA2F91"/>
    <w:rsid w:val="00EA3827"/>
    <w:rsid w:val="00EA3AE4"/>
    <w:rsid w:val="00EA6E4A"/>
    <w:rsid w:val="00EB18CC"/>
    <w:rsid w:val="00EB3C4A"/>
    <w:rsid w:val="00EB460C"/>
    <w:rsid w:val="00EB5610"/>
    <w:rsid w:val="00EB686E"/>
    <w:rsid w:val="00EC246D"/>
    <w:rsid w:val="00EC366F"/>
    <w:rsid w:val="00EC533A"/>
    <w:rsid w:val="00ED0D0A"/>
    <w:rsid w:val="00ED6F56"/>
    <w:rsid w:val="00EE094C"/>
    <w:rsid w:val="00EE0AC3"/>
    <w:rsid w:val="00EE2273"/>
    <w:rsid w:val="00EE6379"/>
    <w:rsid w:val="00EE70E0"/>
    <w:rsid w:val="00EE7704"/>
    <w:rsid w:val="00EE7844"/>
    <w:rsid w:val="00EF0113"/>
    <w:rsid w:val="00EF0C48"/>
    <w:rsid w:val="00EF6F05"/>
    <w:rsid w:val="00F00AE1"/>
    <w:rsid w:val="00F0464B"/>
    <w:rsid w:val="00F04850"/>
    <w:rsid w:val="00F05027"/>
    <w:rsid w:val="00F0542D"/>
    <w:rsid w:val="00F071C1"/>
    <w:rsid w:val="00F107E7"/>
    <w:rsid w:val="00F11117"/>
    <w:rsid w:val="00F14F81"/>
    <w:rsid w:val="00F1783E"/>
    <w:rsid w:val="00F20647"/>
    <w:rsid w:val="00F23CCE"/>
    <w:rsid w:val="00F2603A"/>
    <w:rsid w:val="00F2769A"/>
    <w:rsid w:val="00F320BA"/>
    <w:rsid w:val="00F354CB"/>
    <w:rsid w:val="00F37A93"/>
    <w:rsid w:val="00F4058A"/>
    <w:rsid w:val="00F423CF"/>
    <w:rsid w:val="00F441FB"/>
    <w:rsid w:val="00F45DE0"/>
    <w:rsid w:val="00F50355"/>
    <w:rsid w:val="00F52200"/>
    <w:rsid w:val="00F52E84"/>
    <w:rsid w:val="00F70B3F"/>
    <w:rsid w:val="00F710B8"/>
    <w:rsid w:val="00F75518"/>
    <w:rsid w:val="00F82D0C"/>
    <w:rsid w:val="00F861E9"/>
    <w:rsid w:val="00F90CBF"/>
    <w:rsid w:val="00F913C1"/>
    <w:rsid w:val="00F92261"/>
    <w:rsid w:val="00F924D1"/>
    <w:rsid w:val="00F92859"/>
    <w:rsid w:val="00F948A8"/>
    <w:rsid w:val="00FA2049"/>
    <w:rsid w:val="00FA3EA8"/>
    <w:rsid w:val="00FB0782"/>
    <w:rsid w:val="00FB251A"/>
    <w:rsid w:val="00FB452A"/>
    <w:rsid w:val="00FC6370"/>
    <w:rsid w:val="00FD0F59"/>
    <w:rsid w:val="00FD487E"/>
    <w:rsid w:val="00FE08E9"/>
    <w:rsid w:val="00FE17F5"/>
    <w:rsid w:val="00FE1CB9"/>
    <w:rsid w:val="00FE236C"/>
    <w:rsid w:val="00FE4DFE"/>
    <w:rsid w:val="00FF40CF"/>
    <w:rsid w:val="00FF5ADC"/>
    <w:rsid w:val="00FF634A"/>
    <w:rsid w:val="00FF7C1C"/>
    <w:rsid w:val="06F470F0"/>
    <w:rsid w:val="0978A994"/>
    <w:rsid w:val="1AF8EB07"/>
    <w:rsid w:val="219DB973"/>
    <w:rsid w:val="21F3CFE4"/>
    <w:rsid w:val="24AB57D3"/>
    <w:rsid w:val="286CF790"/>
    <w:rsid w:val="3106A7AF"/>
    <w:rsid w:val="31BA2C24"/>
    <w:rsid w:val="58F2637F"/>
    <w:rsid w:val="5A60974C"/>
    <w:rsid w:val="5DD1A9CB"/>
    <w:rsid w:val="6E1A6FD7"/>
    <w:rsid w:val="74729EAC"/>
    <w:rsid w:val="77649E33"/>
    <w:rsid w:val="794D0CF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7FD41"/>
  <w15:chartTrackingRefBased/>
  <w15:docId w15:val="{B47DCC04-40B7-4E85-A2A6-291720F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link w:val="Heading1Char"/>
    <w:uiPriority w:val="9"/>
    <w:qFormat/>
    <w:rsid w:val="00EA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semiHidden/>
    <w:unhideWhenUsed/>
    <w:qFormat/>
    <w:rsid w:val="004556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UnresolvedMention1">
    <w:name w:val="Unresolved Mention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character" w:customStyle="1" w:styleId="UnresolvedMention2">
    <w:name w:val="Unresolved Mention2"/>
    <w:basedOn w:val="DefaultParagraphFont"/>
    <w:uiPriority w:val="99"/>
    <w:semiHidden/>
    <w:unhideWhenUsed/>
    <w:rsid w:val="00390AE8"/>
    <w:rPr>
      <w:color w:val="605E5C"/>
      <w:shd w:val="clear" w:color="auto" w:fill="E1DFDD"/>
    </w:rPr>
  </w:style>
  <w:style w:type="character" w:customStyle="1" w:styleId="Heading1Char">
    <w:name w:val="Heading 1 Char"/>
    <w:basedOn w:val="DefaultParagraphFont"/>
    <w:link w:val="Heading1"/>
    <w:uiPriority w:val="9"/>
    <w:rsid w:val="00EA3827"/>
    <w:rPr>
      <w:rFonts w:ascii="Times New Roman" w:eastAsia="Times New Roman" w:hAnsi="Times New Roman" w:cs="Times New Roman"/>
      <w:b/>
      <w:bCs/>
      <w:kern w:val="36"/>
      <w:sz w:val="48"/>
      <w:szCs w:val="48"/>
      <w:lang w:val="lt-LT" w:eastAsia="lt-LT"/>
    </w:rPr>
  </w:style>
  <w:style w:type="paragraph" w:styleId="HTMLPreformatted">
    <w:name w:val="HTML Preformatted"/>
    <w:basedOn w:val="Normal"/>
    <w:link w:val="HTMLPreformattedChar1"/>
    <w:rsid w:val="00E456B4"/>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E456B4"/>
    <w:rPr>
      <w:rFonts w:ascii="Consolas" w:hAnsi="Consolas"/>
      <w:sz w:val="20"/>
      <w:szCs w:val="20"/>
      <w:lang w:val="lt-LT"/>
    </w:rPr>
  </w:style>
  <w:style w:type="character" w:customStyle="1" w:styleId="HTMLPreformattedChar1">
    <w:name w:val="HTML Preformatted Char1"/>
    <w:link w:val="HTMLPreformatted"/>
    <w:rsid w:val="00E456B4"/>
    <w:rPr>
      <w:rFonts w:ascii="Courier New" w:eastAsia="Times New Roman" w:hAnsi="Courier New" w:cs="Times New Roman"/>
      <w:sz w:val="20"/>
      <w:szCs w:val="20"/>
      <w:lang w:val="x-none" w:eastAsia="lt-LT"/>
    </w:rPr>
  </w:style>
  <w:style w:type="character" w:customStyle="1" w:styleId="ListParagraphChar">
    <w:name w:val="List Paragraph Char"/>
    <w:basedOn w:val="DefaultParagraphFont"/>
    <w:link w:val="ListParagraph"/>
    <w:uiPriority w:val="34"/>
    <w:locked/>
    <w:rsid w:val="00D27798"/>
    <w:rPr>
      <w:lang w:val="lt-LT"/>
    </w:rPr>
  </w:style>
  <w:style w:type="character" w:customStyle="1" w:styleId="Heading2Char">
    <w:name w:val="Heading 2 Char"/>
    <w:basedOn w:val="DefaultParagraphFont"/>
    <w:link w:val="Heading2"/>
    <w:uiPriority w:val="9"/>
    <w:rsid w:val="00455624"/>
    <w:rPr>
      <w:rFonts w:asciiTheme="majorHAnsi" w:eastAsiaTheme="majorEastAsia" w:hAnsiTheme="majorHAnsi" w:cstheme="majorBidi"/>
      <w:color w:val="2F5496" w:themeColor="accent1" w:themeShade="BF"/>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0325">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s://www.cpva.lt/eee-ir-norvegijos-finansiniai-mechanizmai-2014-2021-m./dokumentai/682/act690?sqid=994b3627fada2d63b94793688db3b709c08413e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hyperlink" Target="http://www.cpva.lt" TargetMode="External"/><Relationship Id="rId2" Type="http://schemas.openxmlformats.org/officeDocument/2006/relationships/customXml" Target="../customXml/item2.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eeagrant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BE67-8E44-4800-9FB0-91569BAFB7C7}">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262c3b82-7ed8-4eac-a6c2-d2f08a866584"/>
    <ds:schemaRef ds:uri="http://schemas.microsoft.com/office/2006/metadata/properties"/>
  </ds:schemaRefs>
</ds:datastoreItem>
</file>

<file path=customXml/itemProps2.xml><?xml version="1.0" encoding="utf-8"?>
<ds:datastoreItem xmlns:ds="http://schemas.openxmlformats.org/officeDocument/2006/customXml" ds:itemID="{D10BA620-D525-49D5-AB62-20655A9CA00D}">
  <ds:schemaRefs>
    <ds:schemaRef ds:uri="http://schemas.microsoft.com/sharepoint/v3/contenttype/forms"/>
  </ds:schemaRefs>
</ds:datastoreItem>
</file>

<file path=customXml/itemProps3.xml><?xml version="1.0" encoding="utf-8"?>
<ds:datastoreItem xmlns:ds="http://schemas.openxmlformats.org/officeDocument/2006/customXml" ds:itemID="{79BA12FF-80C1-4EAE-AF4A-5613EFDB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D7D56-2610-4037-B3EF-BB786ECA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30922</Words>
  <Characters>17626</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Lina Janionytė</cp:lastModifiedBy>
  <cp:revision>2</cp:revision>
  <dcterms:created xsi:type="dcterms:W3CDTF">2020-07-27T04:15:00Z</dcterms:created>
  <dcterms:modified xsi:type="dcterms:W3CDTF">2020-07-27T04:15:00Z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